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DFE9D50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254312EB" w14:textId="002DCF95" w:rsidR="00FF35BF" w:rsidRDefault="003153E7" w:rsidP="001611A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</w:t>
            </w:r>
            <w:proofErr w:type="gram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DEL</w:t>
            </w:r>
            <w:r w:rsidR="00BA65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1AF" w:rsidRPr="00161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SERVIZIO</w:t>
            </w:r>
            <w:proofErr w:type="gramEnd"/>
            <w:r w:rsidR="001611AF" w:rsidRPr="00161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FORMAZIONE RELATIVO A PERCORSI FORMATIVI E LABORATORIALI RIVOLTI A GRUPPI DI ALMENO 9 DESTINATARI AFFERENTI A DIVERSE DISCIPLINE E TEMATICHE IN COERENZA CON GLI OBIETTIVI SPECIFICI DELL’INTERVENTO E A RAFFORZAMENTO DEL CURRICOLO SCOLASTICO </w:t>
            </w:r>
            <w:r w:rsidR="00FF35B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bookmarkStart w:id="0" w:name="_GoBack"/>
            <w:bookmarkEnd w:id="0"/>
            <w:r w:rsidR="00FF35BF">
              <w:t xml:space="preserve"> </w:t>
            </w:r>
            <w:r w:rsidR="00FF35BF" w:rsidRPr="00FF35BF">
              <w:rPr>
                <w:rFonts w:asciiTheme="minorHAnsi" w:hAnsiTheme="minorHAnsi" w:cstheme="minorHAnsi"/>
                <w:b/>
                <w:sz w:val="22"/>
                <w:szCs w:val="22"/>
              </w:rPr>
              <w:t>LABORATORIO A - 4 EDIZIONI RIFERITE A LABORATORI DI “ELETTROTECNICA, MECCANICA, MECCANICA AUTO E INFORMATICA”</w:t>
            </w:r>
            <w:r w:rsidR="00FF35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0A9AE27" w14:textId="0C4A9BAE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>Titolo del Progetto “Mi ritaglio il futuro”</w:t>
            </w:r>
          </w:p>
          <w:p w14:paraId="188AFC64" w14:textId="77777777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>C.U.P. F24D21000560006</w:t>
            </w:r>
          </w:p>
          <w:p w14:paraId="27014339" w14:textId="77777777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 xml:space="preserve"> Codice Progetto: M4C1I1.4-2024-1322-P-49875</w:t>
            </w:r>
          </w:p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375F48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5D19ED87" w:rsidR="003153E7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A2B69" w14:textId="5FA6716A" w:rsidR="001611AF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9CFDE" w14:textId="1C622D1F" w:rsidR="001611AF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69BDB9" w14:textId="77777777" w:rsidR="001611AF" w:rsidRPr="00375F48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C61F2EE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1611AF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BA6548" w:rsidRPr="001611AF">
        <w:rPr>
          <w:rFonts w:asciiTheme="minorHAnsi" w:hAnsiTheme="minorHAnsi" w:cstheme="minorHAnsi"/>
          <w:sz w:val="22"/>
          <w:szCs w:val="22"/>
          <w:lang w:eastAsia="en-US"/>
        </w:rPr>
        <w:t>Servizio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2A80E486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A236D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E62E69" w:rsidRPr="00416EC6">
        <w:rPr>
          <w:rFonts w:asciiTheme="minorHAnsi" w:hAnsiTheme="minorHAnsi" w:cstheme="minorHAnsi"/>
          <w:color w:val="000000"/>
          <w:sz w:val="22"/>
          <w:szCs w:val="22"/>
        </w:rPr>
        <w:t>delle Condizioni di Servizio</w:t>
      </w:r>
      <w:r w:rsidR="00416E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D.Lgs</w:t>
      </w:r>
      <w:proofErr w:type="gramEnd"/>
      <w:r>
        <w:rPr>
          <w:rFonts w:ascii="Calibri" w:hAnsi="Calibri" w:cs="Calibri"/>
          <w:sz w:val="22"/>
          <w:szCs w:val="22"/>
        </w:rPr>
        <w:t>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60E7" w14:textId="77777777" w:rsidR="00FF6DB0" w:rsidRDefault="00FF6DB0">
      <w:r>
        <w:separator/>
      </w:r>
    </w:p>
  </w:endnote>
  <w:endnote w:type="continuationSeparator" w:id="0">
    <w:p w14:paraId="4336290D" w14:textId="77777777" w:rsidR="00FF6DB0" w:rsidRDefault="00F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C792" w14:textId="0EAF6568" w:rsidR="00B05C70" w:rsidRPr="00890845" w:rsidRDefault="00FF35BF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6724" w14:textId="284F058B" w:rsidR="0096764F" w:rsidRPr="00375F48" w:rsidRDefault="00FF35BF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38969" w14:textId="77777777" w:rsidR="00FF6DB0" w:rsidRDefault="00FF6DB0">
      <w:r>
        <w:separator/>
      </w:r>
    </w:p>
  </w:footnote>
  <w:footnote w:type="continuationSeparator" w:id="0">
    <w:p w14:paraId="08074842" w14:textId="77777777" w:rsidR="00FF6DB0" w:rsidRDefault="00FF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11AF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16EC6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35BF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C768-D51E-4199-BE2A-8A0B03BD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1852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2024-02-21T18:54:00Z</dcterms:created>
  <dcterms:modified xsi:type="dcterms:W3CDTF">2025-02-28T10:58:00Z</dcterms:modified>
</cp:coreProperties>
</file>