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59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0591"/>
      </w:tblGrid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ANALISI CONTO CONSUNTIVO</w:t>
            </w:r>
          </w:p>
        </w:tc>
      </w:tr>
      <w:tr>
        <w:trPr/>
        <w:tc>
          <w:tcPr>
            <w:tcW w:w="10591" w:type="dxa"/>
            <w:tcBorders/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VERBALE N. ......./....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Presso l'Istituto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 xml:space="preserve">G. Zanella </w:t>
            </w:r>
            <w:r>
              <w:rPr>
                <w:rFonts w:ascii="Times New Roman" w:hAnsi="Times New Roman"/>
              </w:rPr>
              <w:t xml:space="preserve"> di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Bolzano Vicentino</w:t>
            </w:r>
            <w:r>
              <w:rPr>
                <w:rFonts w:ascii="Times New Roman" w:hAnsi="Times New Roman"/>
              </w:rPr>
              <w:t xml:space="preserve"> l'anno ......... il giorno ........., del mese di ........., alle ore ......................., si sono riuniti i Revisori dei Conti dell'ambito ........................</w:t>
            </w:r>
          </w:p>
        </w:tc>
      </w:tr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 riunione si svolge presso ........................</w:t>
            </w:r>
          </w:p>
        </w:tc>
      </w:tr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 Revisori sono: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59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2647"/>
        <w:gridCol w:w="2648"/>
        <w:gridCol w:w="2648"/>
        <w:gridCol w:w="2647"/>
      </w:tblGrid>
      <w:tr>
        <w:trPr>
          <w:tblHeader w:val="true"/>
        </w:trPr>
        <w:tc>
          <w:tcPr>
            <w:tcW w:w="2647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648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2648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Rappresentanza</w:t>
            </w:r>
          </w:p>
        </w:tc>
        <w:tc>
          <w:tcPr>
            <w:tcW w:w="2647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Assenza/Presenza</w:t>
            </w:r>
          </w:p>
        </w:tc>
      </w:tr>
      <w:tr>
        <w:trPr>
          <w:tblHeader w:val="true"/>
        </w:trPr>
        <w:tc>
          <w:tcPr>
            <w:tcW w:w="2647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</w:t>
            </w:r>
          </w:p>
        </w:tc>
        <w:tc>
          <w:tcPr>
            <w:tcW w:w="2648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</w:t>
            </w:r>
          </w:p>
        </w:tc>
        <w:tc>
          <w:tcPr>
            <w:tcW w:w="2648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Ministero dell'Economia e delle Finanze (MEF)</w:t>
            </w:r>
          </w:p>
        </w:tc>
        <w:tc>
          <w:tcPr>
            <w:tcW w:w="2647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Presente</w:t>
            </w:r>
          </w:p>
        </w:tc>
      </w:tr>
      <w:tr>
        <w:trPr/>
        <w:tc>
          <w:tcPr>
            <w:tcW w:w="2647" w:type="dxa"/>
            <w:tcBorders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</w:t>
            </w:r>
          </w:p>
        </w:tc>
        <w:tc>
          <w:tcPr>
            <w:tcW w:w="2648" w:type="dxa"/>
            <w:tcBorders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</w:t>
            </w:r>
          </w:p>
        </w:tc>
        <w:tc>
          <w:tcPr>
            <w:tcW w:w="2648" w:type="dxa"/>
            <w:tcBorders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Ministero dell’Istruzione (MI)</w:t>
            </w:r>
          </w:p>
        </w:tc>
        <w:tc>
          <w:tcPr>
            <w:tcW w:w="2647" w:type="dxa"/>
            <w:tcBorders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Presente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tbl>
      <w:tblPr>
        <w:tblW w:w="1059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0591"/>
      </w:tblGrid>
      <w:tr>
        <w:trPr/>
        <w:tc>
          <w:tcPr>
            <w:tcW w:w="10591" w:type="dxa"/>
            <w:tcBorders/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Revisori si riuniscono per l''esame del conto consuntivo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2021</w:t>
            </w:r>
            <w:r>
              <w:rPr>
                <w:rFonts w:ascii="Times New Roman" w:hAnsi="Times New Roman"/>
              </w:rPr>
              <w:t xml:space="preserve"> ai sensi dell''art. 51, comma 3 del Regolamento amministrativo-contabile recato dal D.I. 28 agosto 2018, n. 129 e procedono, pertanto, allo svolgimento dei seguenti controlli: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Anagrafica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Osservanza norme regolamentari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Conto Finanziario (Mod. H)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Esame relazione illustrativa predisposta dal Dirigente scolastico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Correttezza modelli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Attendibilità degli accertamenti di entrata e degli impegni di spesa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Assunzione di impegni nei limiti dei relativi stanziamenti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Regolare chiusura del fondo economale per le minute spese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Regolarità della gestione finanziaria e coerenza rispetto alla programmazione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Rispetto vincolo destinazione finanziamenti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indicazione dati della Programmazione definitiva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Corrispondenza dei dati riportati con i libri e le scritture contabili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Coerenza nella compilazione del modello 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Situazione Residui (Mod. L)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Concordanza tra valori indicati e risultanze contabili   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Riaccertamento dei residui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Coerenza nella compilazione del modello 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Conto Patrimoniale (Mod. K)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regolarità delle procedure di variazione alle scritture inventariali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realizzazione e correttezza del passaggio di consegne tra DSGA uscente e DSGA subentrante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con le risultanze contabili da libro inventario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Coerenza tra valore dei crediti/debiti e residui attivi/passivi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Concordanza tra valore disponibilità liquide e comunicazioni Istituto cassiere e Banca d’Italia (mod. 56 T – Tesoreria Unica) nonché Poste SpA al 31/12 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indicazione consistenze iniziali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Coerenza nella compilazione del modello 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Situazione Amministrativa (Mod. J)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tra valori indicati e risultanze delle scritture contabili registrate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tra Fondo cassa e saldo Istituto cassiere e Banca d’Italia (mod. 56 T – Tesoreria Unica) al 31/12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Conforme gestione del servizio di cassa dell’Azienda agraria (G01) / Azienda speciale (G02) alle disposizioni previste dall’art. 25, commi 11 e 12, del DI n. 129/2018 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Coerenza nella compilazione del modello J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tbl>
      <w:tblPr>
        <w:tblW w:w="10538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538"/>
      </w:tblGrid>
      <w:tr>
        <w:trPr>
          <w:trHeight w:val="360" w:hRule="atLeast"/>
        </w:trPr>
        <w:tc>
          <w:tcPr>
            <w:tcW w:w="105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Rendiconto gestione economica (Mod. I)</w:t>
            </w:r>
          </w:p>
        </w:tc>
      </w:tr>
      <w:tr>
        <w:trPr>
          <w:trHeight w:val="260" w:hRule="atLeast"/>
        </w:trPr>
        <w:tc>
          <w:tcPr>
            <w:tcW w:w="105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G01 - Azienda agraria</w:t>
            </w:r>
          </w:p>
        </w:tc>
      </w:tr>
    </w:tbl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Esame della specifica relazione illustrativa del direttore dell’azienda sui risultati della gestione (art. 25, comma 6, del DI n. 129/2018)</w:t>
      </w:r>
    </w:p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tenuta delle scritture contabili dell’azienda ai sensi dell’art. 25, comma 7, del DI n. 129/2018</w:t>
      </w:r>
    </w:p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esistenza / non esistenza di un distinto conto corrente presso l’Istituto che gestisce il servizio di cassa dell’Istituzione scolastica (art. 25, comma 12, del DI n. 129/2018)</w:t>
      </w:r>
    </w:p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 riversamento delle entrate derivanti dalla gestione dell’azienda sul sottoconto fruttifero della contabilità speciale di tesoreria statale intestata all’Istituzione scolastica (art. 25, comma 12, del DI n. 129/2018)</w:t>
      </w:r>
    </w:p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regolare tenuta dei registri obbligatori prevista dalla vigente normativa fiscale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delle risultanze contabili con i registri obbligatori previsti dalla vigente normativa fiscale</w:t>
      </w:r>
    </w:p>
    <w:p>
      <w:pPr>
        <w:pStyle w:val="Normal"/>
        <w:widowControl w:val="false"/>
        <w:numPr>
          <w:ilvl w:val="0"/>
          <w:numId w:val="14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dei versamenti all’Erario previsti dalla vigente normativa fiscale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tbl>
      <w:tblPr>
        <w:tblW w:w="10538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538"/>
      </w:tblGrid>
      <w:tr>
        <w:trPr>
          <w:trHeight w:val="360" w:hRule="atLeast"/>
        </w:trPr>
        <w:tc>
          <w:tcPr>
            <w:tcW w:w="105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Rendiconto gestione economica (Mod. I)</w:t>
            </w:r>
          </w:p>
        </w:tc>
      </w:tr>
      <w:tr>
        <w:trPr>
          <w:trHeight w:val="260" w:hRule="atLeast"/>
        </w:trPr>
        <w:tc>
          <w:tcPr>
            <w:tcW w:w="105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G02 - Azienda speciale</w:t>
            </w:r>
          </w:p>
        </w:tc>
      </w:tr>
    </w:tbl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Esame della specifica relazione illustrativa del direttore dell’azienda sui risultati della gestione (art. 25, comma 6, del DI n. 129/2018)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tenuta delle scritture contabili dell’azienda ai sensi dell’art. 25, comma 7, del DI n. 129/2018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esistenza / non esistenza di un distinto conto corrente presso l’Istituto che gestisce il servizio di cassa dell’Istituzione scolastica (art. 25, comma 12, del DI n. 129/2018)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 riversamento delle entrate derivanti dalla gestione dell’azienda sul sottoconto fruttifero della contabilità speciale di tesoreria statale intestata all’Istituzione scolastica (art. 25, comma 12, del DI n. 129/2018)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regolare tenuta dei registri obbligatori prevista dalla vigente normativa fiscale</w:t>
      </w:r>
    </w:p>
    <w:p>
      <w:pPr>
        <w:pStyle w:val="Normal"/>
        <w:widowControl w:val="false"/>
        <w:numPr>
          <w:ilvl w:val="0"/>
          <w:numId w:val="15"/>
        </w:numPr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delle risultanze contabili con i registri obbligatori previsti dalla vigente normativa fiscale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dei versamenti all’Erario previsti dalla vigente normativa fiscale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Rendiconto gestione economica (Mod. I) 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G03 - Attività per conto terzi </w:t>
      </w:r>
    </w:p>
    <w:p>
      <w:pPr>
        <w:pStyle w:val="Normal"/>
        <w:widowControl w:val="false"/>
        <w:numPr>
          <w:ilvl w:val="0"/>
          <w:numId w:val="11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tenuta delle scritture contabili dell’attività ai sensi dell’art. 26, comma 5, del DI n. 129/2018</w:t>
      </w:r>
    </w:p>
    <w:p>
      <w:pPr>
        <w:pStyle w:val="Normal"/>
        <w:widowControl w:val="false"/>
        <w:numPr>
          <w:ilvl w:val="0"/>
          <w:numId w:val="11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regolare tenuta dei registri obbligatori prevista dalla vigente normativa fiscale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delle risultanze contabili con i registri obbligatori previsti dalla vigente normativa fiscale</w:t>
      </w:r>
    </w:p>
    <w:p>
      <w:pPr>
        <w:pStyle w:val="Normal"/>
        <w:widowControl w:val="false"/>
        <w:numPr>
          <w:ilvl w:val="0"/>
          <w:numId w:val="11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dei versamenti all’Erario previsti dalla vigente normativa fiscale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Rendiconto gestione economica (Mod. I)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G04 - Attività convittuale</w:t>
      </w:r>
    </w:p>
    <w:p>
      <w:pPr>
        <w:pStyle w:val="Normal"/>
        <w:widowControl w:val="false"/>
        <w:numPr>
          <w:ilvl w:val="0"/>
          <w:numId w:val="12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Corretta tenuta delle scritture contabili dell’attività ai sensi dell’art. 27, comma 6, del DI n. 129/2018</w:t>
      </w:r>
    </w:p>
    <w:p>
      <w:pPr>
        <w:pStyle w:val="Normal"/>
        <w:widowControl w:val="false"/>
        <w:numPr>
          <w:ilvl w:val="0"/>
          <w:numId w:val="12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della regolare tenuta dei registri obbligatori prevista dalla vigente normativa fiscale</w:t>
      </w:r>
    </w:p>
    <w:p>
      <w:pPr>
        <w:pStyle w:val="Normal"/>
        <w:widowControl w:val="false"/>
        <w:numPr>
          <w:ilvl w:val="0"/>
          <w:numId w:val="12"/>
        </w:numPr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Concordanza delle risultanze contabili con i registri obbligatori previsti dalla vigente normativa fiscale</w:t>
      </w:r>
    </w:p>
    <w:p>
      <w:pPr>
        <w:pStyle w:val="Normal"/>
        <w:widowControl w:val="false"/>
        <w:numPr>
          <w:ilvl w:val="0"/>
          <w:numId w:val="12"/>
        </w:numPr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Verifica dei versamenti all’Erario previsti dalla vigente normativa fiscale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Dichiarazione del sostituto di imposta (Mod. 770)</w:t>
      </w:r>
    </w:p>
    <w:p>
      <w:pPr>
        <w:pStyle w:val="Normal"/>
        <w:widowControl w:val="false"/>
        <w:numPr>
          <w:ilvl w:val="0"/>
          <w:numId w:val="13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Avvenuta presentazione della dichiarazione del sostituto d'imposta (mod. 770)</w:t>
      </w:r>
    </w:p>
    <w:p>
      <w:pPr>
        <w:pStyle w:val="Normal"/>
        <w:widowControl w:val="false"/>
        <w:numPr>
          <w:ilvl w:val="0"/>
          <w:numId w:val="13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Rispetto dei termini di presentazione della dichiarazione del sostituto d'imposta (mod. 770)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Dichiarazione IRAP 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Avvenuta presentazione della dichiarazione IRAP</w:t>
      </w:r>
    </w:p>
    <w:p>
      <w:pPr>
        <w:pStyle w:val="Normal"/>
        <w:widowControl w:val="false"/>
        <w:numPr>
          <w:ilvl w:val="0"/>
          <w:numId w:val="8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Rispetto dei termini di presentazione della dichiarazione IRAP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Certificazione Unica</w:t>
      </w:r>
    </w:p>
    <w:p>
      <w:pPr>
        <w:pStyle w:val="Normal"/>
        <w:widowControl w:val="false"/>
        <w:numPr>
          <w:ilvl w:val="0"/>
          <w:numId w:val="10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Avvenuta presentazione della Certificazione Unica</w:t>
      </w:r>
    </w:p>
    <w:p>
      <w:pPr>
        <w:pStyle w:val="Normal"/>
        <w:widowControl w:val="false"/>
        <w:numPr>
          <w:ilvl w:val="0"/>
          <w:numId w:val="10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Rispetto dei termini di presentazione della Certificazione Unica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Tempi medi di pagamento relativi agli acquisti di beni, servizi e forniture</w:t>
      </w:r>
    </w:p>
    <w:p>
      <w:pPr>
        <w:pStyle w:val="Normal"/>
        <w:widowControl w:val="false"/>
        <w:numPr>
          <w:ilvl w:val="0"/>
          <w:numId w:val="9"/>
        </w:numPr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Avvenuta pubblicazione sul sito istituzionale dell’Istituzione scolastica dell’indicatore annuale di tempestività dei pagamenti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Generali Scuola Infanzia - Data di riferimento: 15 marzo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struttura delle classi per l'anno scolastico è la seguente: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1165"/>
        <w:gridCol w:w="1165"/>
        <w:gridCol w:w="1165"/>
        <w:gridCol w:w="1165"/>
        <w:gridCol w:w="1165"/>
        <w:gridCol w:w="1167"/>
        <w:gridCol w:w="1165"/>
        <w:gridCol w:w="1165"/>
        <w:gridCol w:w="1268"/>
      </w:tblGrid>
      <w:tr>
        <w:trPr/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Numero sezioni con orario ridotto (a)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Numero sezioni con orario normale (b)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Totale sezioni (c=a+b)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Bambini iscritti al 1° settembre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Bambini frequentanti sezioni con orario ridotto (d)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Bambini frequentanti sezioni con orario normale (e)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Totale bambini frequentanti  (f=d+e)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 cui diversamente abili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Media bambini per sezione (f/c)</w:t>
            </w:r>
          </w:p>
        </w:tc>
      </w:tr>
      <w:tr>
        <w:trPr/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Generali Scuola Primaria e Secondaria di I Grado  - Data di riferimento: 15 marzo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struttura delle classi per l''anno scolastico è la seguente: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954"/>
        <w:gridCol w:w="809"/>
        <w:gridCol w:w="848"/>
        <w:gridCol w:w="853"/>
        <w:gridCol w:w="850"/>
        <w:gridCol w:w="710"/>
        <w:gridCol w:w="849"/>
        <w:gridCol w:w="852"/>
        <w:gridCol w:w="849"/>
        <w:gridCol w:w="854"/>
        <w:gridCol w:w="705"/>
        <w:gridCol w:w="854"/>
        <w:gridCol w:w="603"/>
      </w:tblGrid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Numero classi funzionanti con 24 ore (a)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Numero classi funzionanti a tempo normale (da 27 a 30/34 ore) (b)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Numero classi funzionanti a tempo pieno/ prolungato (40/36 ore) (c)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Totale classi (d=a+b+c)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Alunni iscritti al 1° settembre (e)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Alunni frequentanti classi funzionanti con 24 ore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(f)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Alunni frequentanti classi funzionanti a tempo normale (da 27 a 30/34 ore) (g)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Alunni frequentanti classi funzionanti a tempo pieno/ prolungato (40/36 ore) (h)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Totale alunni frequentanti (i=f+g+h)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Di cui diversa-mente abili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Differenza tra alunni iscritti al 1° settembre e alunni frequentanti (l=e-i)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Media alunni per classe (i/d)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Prime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Seconde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20,80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Terze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Quarte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18,40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Quinte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18,00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Pluriclassi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1059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Totale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18,96</w:t>
            </w:r>
          </w:p>
        </w:tc>
      </w:tr>
      <w:tr>
        <w:trPr/>
        <w:tc>
          <w:tcPr>
            <w:tcW w:w="1059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Prime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18,67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Seconde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19,33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Terze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21,17</w:t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Pluriclassi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eastAsiaTheme="minorEastAsia" w:ascii="Times New Roman" w:hAnsi="Times New Roman"/>
                <w:sz w:val="18"/>
                <w:szCs w:val="18"/>
                <w:lang w:eastAsia="it-IT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1059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Totale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355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27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sz w:val="18"/>
                <w:szCs w:val="18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sz w:val="18"/>
                <w:szCs w:val="18"/>
                <w:lang w:eastAsia="it-IT"/>
              </w:rPr>
              <w:t>19,72</w:t>
            </w:r>
          </w:p>
        </w:tc>
      </w:tr>
      <w:tr>
        <w:trPr/>
        <w:tc>
          <w:tcPr>
            <w:tcW w:w="1059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Generali Scuola Secondaria di II Grado - Data di riferimento: 15 marzo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struttura delle classi per l''anno scolastico è la seguente: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N. indirizzi/percorsi liceali presenti: 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N. classi articolate:  .........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546"/>
        <w:gridCol w:w="657"/>
        <w:gridCol w:w="654"/>
        <w:gridCol w:w="754"/>
        <w:gridCol w:w="712"/>
        <w:gridCol w:w="706"/>
        <w:gridCol w:w="853"/>
        <w:gridCol w:w="849"/>
        <w:gridCol w:w="930"/>
        <w:gridCol w:w="656"/>
        <w:gridCol w:w="875"/>
        <w:gridCol w:w="870"/>
        <w:gridCol w:w="766"/>
        <w:gridCol w:w="762"/>
      </w:tblGrid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Classi/Sezioni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Alunni Iscritti</w:t>
            </w:r>
          </w:p>
        </w:tc>
        <w:tc>
          <w:tcPr>
            <w:tcW w:w="72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Alunni frequentanti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Numero classi corsi diurni (a)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Numero classi corsi serali (b)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Totale classi (c=a+b)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Alunni iscritti al 1° settembre  corsi diurni (d)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Alunni iscritti al  1° settembre  corsi serali (e)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Alunni frequentanti classi corsi diurni (f)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Alunni frequentanti classi corsi serali (g)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Totale alunni frequentanti (h=f+g)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Di cui diversa-mente abili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Differenza tra alunni iscritti al 1°settembre e alunni frequentanti corsi diurni (i=d-f)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Differenza tra alunni iscritti al 1° settembre e alunni frequentanti corsi serali (l=e-g)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Media alunni per classe corsi diurni (f/a)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Media alunni per classe corsi serali (g/b)</w:t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Prime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Seconde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Terze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Quarte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Quinte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10590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Totale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>
        <w:trPr/>
        <w:tc>
          <w:tcPr>
            <w:tcW w:w="10590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Generali Centri Provinciali per l’Istruzione degli Adulti - Data di riferimento: 15 marzo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struttura dei gruppi per l'anno scolastico è la seguente: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tbl>
      <w:tblPr>
        <w:tblW w:w="10609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578"/>
        <w:gridCol w:w="1130"/>
        <w:gridCol w:w="1128"/>
        <w:gridCol w:w="1130"/>
        <w:gridCol w:w="1127"/>
        <w:gridCol w:w="1128"/>
        <w:gridCol w:w="1131"/>
        <w:gridCol w:w="1130"/>
        <w:gridCol w:w="1126"/>
      </w:tblGrid>
      <w:tr>
        <w:trPr>
          <w:trHeight w:val="266" w:hRule="atLeast"/>
        </w:trPr>
        <w:tc>
          <w:tcPr>
            <w:tcW w:w="1578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Gruppi di livello</w:t>
            </w:r>
          </w:p>
        </w:tc>
        <w:tc>
          <w:tcPr>
            <w:tcW w:w="338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Alunni Iscritti al 16 ottobre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Alunni Frequentanti</w:t>
            </w:r>
          </w:p>
        </w:tc>
      </w:tr>
      <w:tr>
        <w:trPr>
          <w:trHeight w:val="989" w:hRule="atLeast"/>
        </w:trPr>
        <w:tc>
          <w:tcPr>
            <w:tcW w:w="1578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Numero dei gruppi</w:t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Numero dei gruppi della Casa Circondariale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/>
                <w:sz w:val="18"/>
                <w:szCs w:val="18"/>
              </w:rPr>
              <w:t>Totale gruppi di livello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Numero degli Alunni Iscritti</w:t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Numero degli Alunni Iscritti della Casa Circondariale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/>
                <w:sz w:val="18"/>
                <w:szCs w:val="18"/>
              </w:rPr>
              <w:t>Totale alunni iscritti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Totale  Alunni Frequentanti</w:t>
            </w:r>
          </w:p>
        </w:tc>
        <w:tc>
          <w:tcPr>
            <w:tcW w:w="112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di cui Disabili</w:t>
            </w:r>
          </w:p>
        </w:tc>
      </w:tr>
      <w:tr>
        <w:trPr>
          <w:trHeight w:val="266" w:hRule="atLeast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Alfabetizzazione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44" w:hRule="atLeast"/>
        </w:trPr>
        <w:tc>
          <w:tcPr>
            <w:tcW w:w="1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I livello - I Periodo Didattico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44" w:hRule="atLeast"/>
        </w:trPr>
        <w:tc>
          <w:tcPr>
            <w:tcW w:w="1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I livello - II Periodo Didattico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66" w:hRule="atLeast"/>
        </w:trPr>
        <w:tc>
          <w:tcPr>
            <w:tcW w:w="1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Totale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28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br w:type="page"/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Personale - Data di riferimento: 15 marzo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La situazione del personale docente e ATA (organico di fatto) in servizio può così sintetizzarsi: 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8472"/>
        <w:gridCol w:w="2118"/>
      </w:tblGrid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DIRIGENTE SCOLASTICO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N.B. in presenza di cattedra o posto esterno il docente va rilevato solo dalla scuola di titolarità del posto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NUMERO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titolari a tempo indeterminato full-time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55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titolari a tempo indeterminato part-time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titolari di sostegno a tempo indeterminato full-time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titolari di sostegno a tempo indeterminato part-time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su posto normale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sostegno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sostegno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religione a tempo indeterminato full-time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religione a tempo indeterminato part-time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religione incaricati annuali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su posto normale con contratto a tempo determinato su spezzone orario*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Insegnanti di sostegno con contratto a tempo determinato su spezzone orario*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i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*da censire solo presso il primo contratto nel caso in cui il docente abbia più spezzoni e quindi abbia stipulato diversi contratti con altrettante scuole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PERSONALE DOCENTE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112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i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N.B. il personale ATA va rilevato solo dalla scuola di titolarità del posto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NUMERO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Direttore dei Servizi Generali ed Amministrativi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Direttore dei Servizi Generali ed Amministrativi a tempo 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Coordinatore Amministrativo e Tecnico e/o Responsabile amministrativo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Amministrativi a tempo indeterminato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eastAsia="" w:cs="Times New Roman" w:ascii="Times New Roman" w:hAnsi="Times New Roman" w:eastAsiaTheme="minorEastAsia"/>
                <w:lang w:eastAsia="it-IT"/>
              </w:rPr>
              <w:t>3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Amministrativi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Amministrativi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Tecnici a tempo indeterminato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Tecnici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Assistenti Tecnici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Collaboratori scolastici dei servizi a tempo indeterminato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Collaboratori scolastici a tempo indeterminato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09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Collaboratori scolastici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Collaboratori scolastici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Personale altri profili (guardarobiere, cuoco, infermiere) a tempo indeterminato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Personale altri profili (guardarobiere, cuoco, infermiere) a tempo determinato con contratto annuale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Personale altri profili (guardarobiere, cuoco, infermiere) a tempo determinato con contratto fino al 30 Giugno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Personale ATA a tempo indeterminato part-time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1</w:t>
            </w:r>
          </w:p>
        </w:tc>
      </w:tr>
      <w:tr>
        <w:trPr/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PERSONALE ATA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lang w:eastAsia="it-IT"/>
              </w:rPr>
            </w:pPr>
            <w:r>
              <w:rPr>
                <w:rFonts w:eastAsia="" w:cs="Times New Roman" w:ascii="Times New Roman" w:hAnsi="Times New Roman" w:eastAsiaTheme="minorEastAsia"/>
                <w:lang w:eastAsia="it-IT"/>
              </w:rPr>
              <w:t>24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Conto Finanziario (Mod. H)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In base alle scritture registrate nei libri contabili ed alla documentazione messa a disposizione, tenendo conto altresì delle informazioni contenute nella relazione predisposta dal Dirigente scolastico in merito all'andamento della gestione dell'istituzione scolastica, i Revisori hanno proceduto all'esame dei vari aggregati di entrata e di spesa, ai relativi accertamenti ed impegni, nonché alla verifica delle entrate riscosse e dei pagamenti eseguiti durante l'esercizio; danno atto che il conto consuntivo .... presenta le seguenti risultanze: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1) ENTRATE</w:t>
      </w:r>
    </w:p>
    <w:tbl>
      <w:tblPr>
        <w:tblW w:w="10835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6299"/>
        <w:gridCol w:w="1559"/>
        <w:gridCol w:w="1559"/>
        <w:gridCol w:w="1417"/>
      </w:tblGrid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Aggregato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Programmazione Definitiva (a)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Somme Accertate (b)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Disponibilità (b/a)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01-Avanzo di amministrazione presunto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89809,36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02-Finanziamenti dall’Unione europea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145823,36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  <w:r>
              <w:rPr>
                <w:rFonts w:ascii="Times New Roman" w:hAnsi="Times New Roman"/>
                <w:sz w:val="18"/>
                <w:szCs w:val="18"/>
              </w:rPr>
              <w:t>145823,36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03-Finanziamenti dello Stato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95239,96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95239,96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18"/>
                <w:szCs w:val="18"/>
                <w:lang w:val="it-IT" w:eastAsia="it-IT" w:bidi="ar-SA"/>
              </w:rPr>
              <w:t>100%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04-Finanziamenti della Regione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100%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05-Finanziamenti da Enti locali o da altre Istituzioni pubbliche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21474,21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21474,21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100%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06-Contributi da privati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20540,00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20540,00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100%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07-Proventi da gestioni economiche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08-Rimborsi e restituzione somme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18"/>
                <w:szCs w:val="18"/>
                <w:lang w:val="it-IT" w:eastAsia="it-IT" w:bidi="ar-SA"/>
              </w:rPr>
              <w:t>100%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09-Alienazione di beni materiali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10-Alienazione di beni immateriali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11-Sponsor e utilizzo locali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12-Altre entrate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13-Mutui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TOTALE ENTRATE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372936,89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283127,53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Disavanzo di competenza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Totale a pareggio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283127,53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2) SPESE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6299"/>
        <w:gridCol w:w="1559"/>
        <w:gridCol w:w="1559"/>
        <w:gridCol w:w="1173"/>
      </w:tblGrid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Aggregato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Programmazione Definitiva (a)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Somme Impegnate (b)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Utilizzo (b/a)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Attività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276658,35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82570,42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A01-Funzionamento generale e decoro della Scuola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63246,88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34913,20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A02-Funzionamento amministrativo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14152,53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11022,97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A03-Didattica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195279,67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36074,76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A04-Alternanza Scuola-Lavoro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A05-Visite, viaggi e programmi di studio all’estero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2581,00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259,49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A06-Attività di orientamento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1398,27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300,00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Progetti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95678,54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65135,78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P01-Progetti in ambito “Scientifico, tecnico e professionale”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22631,18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18"/>
                <w:szCs w:val="18"/>
                <w:lang w:val="it-IT" w:eastAsia="it-IT" w:bidi="ar-SA"/>
              </w:rPr>
              <w:t>€</w:t>
            </w: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18"/>
                <w:szCs w:val="18"/>
                <w:lang w:val="it-IT" w:eastAsia="it-IT" w:bidi="ar-SA"/>
              </w:rPr>
              <w:t>16840,77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18"/>
                <w:szCs w:val="18"/>
                <w:lang w:val="it-IT" w:eastAsia="it-IT" w:bidi="ar-SA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P02-Progetti in ambito “Umanistico e sociale”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55279,99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41306,95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P03-Progetti per “Certificazioni e corsi professionali”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3050,00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2786,72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P04-Progetti per “Formazione / aggiornamento personale”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14217,37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4201,34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P05-Progetti per “Gare e concorsi”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Gestioni economiche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G01-Azienda agraria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G02-Azienda speciale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G03-Attività per conto terzi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G04-Attività convittuale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R98-Fondo di Riserva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18"/>
                <w:szCs w:val="18"/>
                <w:lang w:val="it-IT" w:eastAsia="it-IT" w:bidi="ar-SA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D100-Disavanzo di amministrazione presunto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TOTALE SPESE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372936,89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147706,20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Z101-Disponibilità finanziaria da programmare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Avanzo di competenza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135421,33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rPr/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Totale a pareggio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val="auto"/>
                <w:kern w:val="0"/>
                <w:sz w:val="18"/>
                <w:szCs w:val="18"/>
                <w:lang w:val="it-IT" w:eastAsia="it-IT" w:bidi="ar-SA"/>
              </w:rPr>
              <w:t>283127,53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Pertanto, l'esercizio finanziario .... presenta un ........... di competenza di 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Dal confronto con la programmazione definitiva emerge che le somme impegnate risultano pari al 0% di quelle programmate.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Situazione Residui (Mod. L)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 situazione dei residui è la seguente: 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2139"/>
        <w:gridCol w:w="1388"/>
        <w:gridCol w:w="1392"/>
        <w:gridCol w:w="1392"/>
        <w:gridCol w:w="1390"/>
        <w:gridCol w:w="1499"/>
        <w:gridCol w:w="1390"/>
      </w:tblGrid>
      <w:tr>
        <w:trPr/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Iniziali al 1/1/..</w:t>
            </w:r>
            <w:r>
              <w:rPr>
                <w:rFonts w:ascii="Times New Roman" w:hAnsi="Times New Roman"/>
              </w:rPr>
              <w:t>2021</w:t>
            </w:r>
            <w:r>
              <w:rPr>
                <w:rFonts w:ascii="Times New Roman" w:hAnsi="Times New Roman"/>
              </w:rPr>
              <w:t>..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Riscossi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 riscuotere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esercizio  ....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Variazione in diminuzione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Residui</w:t>
            </w:r>
          </w:p>
        </w:tc>
      </w:tr>
      <w:tr>
        <w:trPr/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Attivi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0,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it-IT" w:eastAsia="it-IT" w:bidi="ar-SA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0,00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151381,15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2139"/>
        <w:gridCol w:w="1388"/>
        <w:gridCol w:w="1392"/>
        <w:gridCol w:w="1392"/>
        <w:gridCol w:w="1390"/>
        <w:gridCol w:w="1499"/>
        <w:gridCol w:w="1390"/>
      </w:tblGrid>
      <w:tr>
        <w:trPr/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Iniziali al 1/1/.</w:t>
            </w:r>
            <w:r>
              <w:rPr>
                <w:rFonts w:ascii="Times New Roman" w:hAnsi="Times New Roman"/>
              </w:rPr>
              <w:t>2021</w:t>
            </w: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Pagati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 pagare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esercizio  ....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Variazione in diminuzione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Residui</w:t>
            </w:r>
          </w:p>
        </w:tc>
      </w:tr>
      <w:tr>
        <w:trPr/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Passivi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27044,90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 oggi risultano incassati residui attivi per euro ........ e pagati residui passivi per euro ........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Conto Patrimoniale (Mod. K)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Dal Modello K, concernente il Conto del Patrimonio, risulta una consistenza patrimoniale pari a € 0,00. I valori esposti dall'Istituzione Scolastica sono i seguenti: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2647"/>
        <w:gridCol w:w="2648"/>
        <w:gridCol w:w="2648"/>
        <w:gridCol w:w="2647"/>
      </w:tblGrid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Situazione al 1/1/.</w:t>
            </w:r>
            <w:r>
              <w:rPr>
                <w:rFonts w:ascii="Times New Roman" w:hAnsi="Times New Roman"/>
              </w:rPr>
              <w:t>2021</w:t>
            </w: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Variazioni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Situazione al 31/12/..</w:t>
            </w:r>
            <w:r>
              <w:rPr>
                <w:rFonts w:ascii="Times New Roman" w:hAnsi="Times New Roman"/>
              </w:rPr>
              <w:t>202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ATTIVO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Immobilizzazioni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127217,05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5729,55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121487,50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Disponibilità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Deficit patrimoniale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Attivo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PASSIVO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debiti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Consistenza Patrimoniale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  <w:tr>
        <w:trPr/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Totale Passivo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Situazione Amministrativa (Mod. J)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Il risultato di amministrazione, evidenziato nel modello J, è determinato come segue:</w:t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2645"/>
        <w:gridCol w:w="2118"/>
        <w:gridCol w:w="2121"/>
        <w:gridCol w:w="2118"/>
        <w:gridCol w:w="1589"/>
      </w:tblGrid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Fondo di cassa all'inizio dell'esercizio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84022,52</w:t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anni precedenti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Competenza Esercizio .</w:t>
            </w:r>
            <w:r>
              <w:rPr>
                <w:rFonts w:ascii="Times New Roman" w:hAnsi="Times New Roman"/>
              </w:rPr>
              <w:t>2021</w:t>
            </w: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Riscossioni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142998,53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142998,53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Pagamenti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2981,10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123154,51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126126,61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Fondo di cassa alla fine dell'esercizio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€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100894,44</w:t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Attivi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10757,78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140623,37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151381,15</w:t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Residui Passivi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1989,84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25055,06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27044,90</w:t>
            </w:r>
          </w:p>
        </w:tc>
      </w:tr>
      <w:tr>
        <w:trPr/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Avanzo di amministrazione al 31/12/</w:t>
            </w: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€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it-IT" w:eastAsia="it-IT" w:bidi="ar-SA"/>
              </w:rPr>
              <w:t>225230,69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Il Fondo cassa al 31/12/....  riportato nel modello J è pari a ......... in concordanza con l'estratto conto dell'Istituto cassiere, con le giacenze presso la Banca d’Italia (mod. 56 T – Tesoreria Unica) e con le scritture del libro giornale.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Dalle risultanze del sottoconto fruttifero della contabilità speciale di tesoreria statale (Banca d’Italia, mod. 56 T) risulta il corretto riversamento delle entrate derivanti dalla gestione dell’Azienda agraria (G01) / Azienda speciale (G02) sul distinto conto corrente aperto per l’Azienda presso il medesimo Istituto che gestisce il servizio di cassa dell’Istituzione scolastica (art. 25, comma 12, del DI n. 129/2018), che al 31/12/…. presenta un saldo di euro …….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Spese Per Attività e Progetti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Nel corso dell'esercizio in esame, l'istituto ha provveduto a definire il Piano Triennale dell'Offerta Formativa (PTOF), nel quale ha fatto confluire i propri progetti mirati a migliorare l'efficacia del processo di insegnamento e di apprendimento.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Le risultanze complessive delle uscite relative alle attività ed ai progetti possono essere riclassificate per tipologia di spesa, allo scopo di consentire un'analisi costi-benefici inerente le attività ed i progetti, anche in considerazione dello sfasamento temporale con cui la progettualità scolastica trova concreta realizzazione rispetto ad una programmazione ed una gestione espresse in termini di competenza finanziaria.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591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10591"/>
      </w:tblGrid>
      <w:tr>
        <w:trPr/>
        <w:tc>
          <w:tcPr>
            <w:tcW w:w="10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SPESE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484" w:type="dxa"/>
        <w:jc w:val="center"/>
        <w:tblInd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firstRow="0" w:noVBand="0" w:lastRow="0" w:firstColumn="0" w:lastColumn="0" w:noHBand="0" w:val="0000"/>
      </w:tblPr>
      <w:tblGrid>
        <w:gridCol w:w="1128"/>
        <w:gridCol w:w="851"/>
        <w:gridCol w:w="849"/>
        <w:gridCol w:w="761"/>
        <w:gridCol w:w="710"/>
        <w:gridCol w:w="708"/>
        <w:gridCol w:w="708"/>
        <w:gridCol w:w="852"/>
        <w:gridCol w:w="850"/>
        <w:gridCol w:w="711"/>
        <w:gridCol w:w="937"/>
        <w:gridCol w:w="761"/>
        <w:gridCol w:w="657"/>
      </w:tblGrid>
      <w:tr>
        <w:trPr/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0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Impegni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Programma- zione definitiva</w:t>
            </w:r>
          </w:p>
        </w:tc>
        <w:tc>
          <w:tcPr>
            <w:tcW w:w="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Totale Impegni</w:t>
            </w:r>
          </w:p>
        </w:tc>
        <w:tc>
          <w:tcPr>
            <w:tcW w:w="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Impegni/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Spese %</w:t>
            </w:r>
          </w:p>
        </w:tc>
      </w:tr>
      <w:tr>
        <w:trPr/>
        <w:tc>
          <w:tcPr>
            <w:tcW w:w="112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Spese di personale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Acquisto di beni di consumo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Acquisto di servizi e utilizzo di beni di terzi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Acquisto di beni d’investi- mento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Altre spese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Imposte e tasse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Oneri straordinari  e da contenzioso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Oneri finanziari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Rimborsi  e poste correttive</w:t>
            </w:r>
          </w:p>
        </w:tc>
        <w:tc>
          <w:tcPr>
            <w:tcW w:w="93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6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A01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A02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A03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A04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A05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A06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P01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P02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P03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P04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P05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TOTALE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€ </w:t>
            </w: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</w:tr>
      <w:tr>
        <w:trPr/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TOTALE / TOTALE IMPEGNI 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0,00%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L'utilizzo complessivo della dotazione finanziaria è pari al 0,00%. In merito alle dotazioni annuali dei progetti, il tasso d</w:t>
      </w:r>
      <w:r>
        <w:rPr>
          <w:rFonts w:cs="Tahoma" w:ascii="Tahoma" w:hAnsi="Tahoma"/>
        </w:rPr>
        <w:t>’</w:t>
      </w:r>
      <w:r>
        <w:rPr>
          <w:rFonts w:ascii="Times New Roman" w:hAnsi="Times New Roman"/>
        </w:rPr>
        <w:t>impiego delle risorse ad essi destinate è pari al 0,00%.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In particolare, i Revisori hanno esaminato la documentazione relativa ad alcuni progetti, con le considerazioni che seguono: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538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810"/>
        <w:gridCol w:w="1703"/>
        <w:gridCol w:w="1602"/>
        <w:gridCol w:w="1422"/>
      </w:tblGrid>
      <w:tr>
        <w:trPr>
          <w:trHeight w:val="360" w:hRule="atLeast"/>
        </w:trPr>
        <w:tc>
          <w:tcPr>
            <w:tcW w:w="10537" w:type="dxa"/>
            <w:gridSpan w:val="4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Rendiconto gestione economica (Mod. I)</w:t>
            </w:r>
          </w:p>
        </w:tc>
      </w:tr>
      <w:tr>
        <w:trPr>
          <w:trHeight w:val="260" w:hRule="atLeast"/>
        </w:trPr>
        <w:tc>
          <w:tcPr>
            <w:tcW w:w="10537" w:type="dxa"/>
            <w:gridSpan w:val="4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G01 - Azienda agraria / G02 - Azienda speciale / G03 - Attività per conto terzi / G04 - Attività convittuale</w:t>
            </w:r>
          </w:p>
        </w:tc>
      </w:tr>
      <w:tr>
        <w:trPr>
          <w:trHeight w:val="260" w:hRule="exact"/>
        </w:trPr>
        <w:tc>
          <w:tcPr>
            <w:tcW w:w="58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ENTRATE</w:t>
            </w:r>
          </w:p>
        </w:tc>
        <w:tc>
          <w:tcPr>
            <w:tcW w:w="472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Competenza</w:t>
            </w:r>
          </w:p>
        </w:tc>
      </w:tr>
      <w:tr>
        <w:trPr>
          <w:trHeight w:val="820" w:hRule="atLeast"/>
        </w:trPr>
        <w:tc>
          <w:tcPr>
            <w:tcW w:w="58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Programmazione definitiva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(a)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Somme accertate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(b)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Disponibilità (b/a)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Avanzo di amministrazione presunto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Finanziamenti dall'Unione Europea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Finanziamenti dallo Stato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Finanziamenti dalla Regione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Finanziamenti da Enti locali o da altre Istituzioni pubbliche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5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Contributi da privati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Proventi da gestioni economiche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Rimborsi e restituzione somme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Alienazione di beni materiali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Alienazione di beni immateriali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Sponsor e utilizzo locali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Altre entrate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Mutui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TOTALE ENTRATE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Disavanzo di competenza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58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SPESE</w:t>
            </w:r>
          </w:p>
        </w:tc>
        <w:tc>
          <w:tcPr>
            <w:tcW w:w="472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Competenza</w:t>
            </w:r>
          </w:p>
        </w:tc>
      </w:tr>
      <w:tr>
        <w:trPr>
          <w:trHeight w:val="530" w:hRule="atLeast"/>
        </w:trPr>
        <w:tc>
          <w:tcPr>
            <w:tcW w:w="58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Programmazione definitiva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(a)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Somme impegnate</w:t>
              <w:br/>
              <w:t>(b)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Utilizzo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(b/a)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Spese di personale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Acquisto di beni di consumo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Acquisto di servizi ed utilizzo di beni di terzi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Acquisto di beni d'investimento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Atre spese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Imposte e tasse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Oneri straordinari e da contenzioso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Oneri finanziari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7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Rimborsi e poste correttive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TOTALE SPESE</w:t>
            </w:r>
          </w:p>
        </w:tc>
        <w:tc>
          <w:tcPr>
            <w:tcW w:w="1703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260" w:hRule="atLeast"/>
        </w:trPr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Avanzo di competenza</w:t>
            </w:r>
          </w:p>
        </w:tc>
        <w:tc>
          <w:tcPr>
            <w:tcW w:w="1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  <w:tc>
          <w:tcPr>
            <w:tcW w:w="16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€ 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Pertanto, nell'esercizio finanziario .... la gestione economica presenta un ........... di competenza di 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Dichiarazione del sostituto di imposta (Mod. 770)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dichiarazione del sostituto d'imposta per l'anno d'imposta  ....  risulta presentata nei termini.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dichiarazione del sostituto d'imposta per l'anno d'imposta  ....  risulta presentata fuori termine.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La dichiarazione del sostituto d'imposta per l'anno d'imposta  ....  non risulta presentata.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Dichiarazione IRAP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La dichiarazione IRAP per l’anno d’imposta ….. risulta presentata nei termini.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Oppure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La dichiarazione IRAP per l’anno d’imposta ….. risulta presentata fuori termine.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La dichiarazione IRAP per l’anno d’imposta ….. non risulta presentata.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Certificazione Unica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La Certificazione Unica per l’anno d’imposta ….. risulta presentata nei termini.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Oppure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La Certificazione Unica per l’anno d’imposta ….. risulta presentata fuori termine.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La Certificazione Unica per l’anno d’imposta ….. non risulta presentata.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Pubblicazione tempi medi di pagamento relativi agli acquisti di beni, servizi e forniture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L’indicatore di tempestività dei pagamenti dell’anno ….. risulta pubblicato sul sito istituzionale della Scuola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Cs/>
        </w:rPr>
        <w:t>L’indicatore di tempestività dei pagamenti dell’anno …. non risulta pubblicato sul sito istituzionale della Scuola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(Accertamenti negativi)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risultano osservate le norme regolamentari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La relazione illustrativa predisposta dal dirigente scolastico è carente nei contenuti richiesti dall'art. 23, comma 1, del regolamento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modelli non sono correttamente compilati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Gli accertamenti di entrata e gli impegni di spesa non sono attendibili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Gli impegni non sono stati assunti nei limiti dei relativi stanziamenti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fondo economale per le minute spese non risulta versato entro il 31/12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Dagli elementi di cui agli atti esaminati ed alle verifiche periodiche, sono state accertate irregolarità nella gestione finanziaria e/o incoerenze rispetto alla programmazione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è stato rispettato il vincolo di destinazione dei finanziamenti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dati della programmazione definitiva non sono correttamente indicati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Esistono incongruenze tra il Conto finanziario e le risultanze contabili di cui ai registri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sono incoerenze nella compilazione del modello H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valori indicati divergono dalle risultanze contabili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Sono presenti anomalie nel riaccertamento dei residui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sono incoerenze nella compilazione del modello L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sono state rispettate le norme regolamentari relative alle procedure di variazione ai beni iscritti nell'inventario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è ancora avvenuto il passaggio di consegne dal DSGA uscente al DSGA subentrante per i motivi illustrati nel verbale e/o non è stata correttamente applicata la procedura regolamentare</w:t>
      </w:r>
      <w:r>
        <w:rPr>
          <w:rFonts w:ascii="Times New Roman" w:hAnsi="Times New Roman"/>
          <w:color w:val="000000"/>
        </w:rPr>
        <w:t xml:space="preserve"> 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iCs/>
        </w:rPr>
        <w:t>I valori indicati divergono dalle risultanze di cui al libro inventario e dagli altri registri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valore dei crediti e debiti indicati non corrisponde al valore accertato dei residui attivi e passivi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L'ammontare delle disponibilità liquide indicate è difforme dalla sommatoria dei saldi al 31/12 comunicati dall'Istituto cassiere e Banca d’Italia (mod. 56 T – Tesoreria Unica) nonché da Poste SpA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Le consistenze iniziali non sono correttamente riportate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sono incoerenze nella compilazione del modello K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valori indicati divergono dalle risultanze di cui ai registri contabili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L'ammontare del Fondo cassa risultante dal giornale di cassa al 31/12 differisce dal saldo comunicato dall'Istituto cassiere e Banca d’Italia (mod. 56 T – Tesoreria Unica)</w:t>
      </w:r>
    </w:p>
    <w:p>
      <w:pPr>
        <w:pStyle w:val="Normal"/>
        <w:widowControl w:val="false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La gestione del servizio di cassa dell’Azienda agraria (G01) / Azienda speciale (G02) non è conforme alle disposizioni previste dall’art. 25, commi 11 e 12, del DI n. 129/2018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sono incoerenze nella compilazione del modello J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La relazione illustrativa del conto consuntivo non contiene gli elementi previsti per le gestioni economiche separate dal DI n. 129/2018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Le scritture contabili della gestione economica non risultano tenute come appositamente previsto dal DI n. 129/2018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I registri obbligatori previsti per la gestione economica dalla vigente normativa fiscale non risultano regolarmente tenuti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Le risultanze contabili della gestione economica non concordano con i registri obbligatori previsti dalla vigente normativa fiscale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Non risultano effettuati i versamenti all’Erario dovuti per la gestione economica, come previsto dalla vigente normativa fiscale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è avvenuta la presentazione del modello 770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Non è stato rispettato il termine di presentazione del modello 770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Non è avvenuta la presentazione del modello IRAP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Non è stato rispettato il termine di presentazione del modello IRAP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Non è avvenuta la presentazione della Certificazione Unica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Non è stato rispettato il termine di presentazione della Certificazione Unica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Non è stato pubblicato sul sito istituzionale della Scuola l’indicatore di tempestività dei pagamenti annuale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(Accertamenti positivi)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Risultano osservate le norme regolamentari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La relazione illustrativa predisposta dal dirigente scolastico è esaustiva nei contenuti richiesti dall'art. 23, comma 1, del regolamento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modelli sono correttamente compilati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Gli accertamenti di entrata e gli impegni di spesa sono attendibili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Gli impegni sono stati assunti nei limiti dei relativi stanziamenti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fondo economale per le minute spese risulta versato entro il 31/12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Dagli elementi di cui agli atti esaminati ed alle verifiche periodiche, è stata accertata la regolarità della gestione finanziaria e la coerenza rispetto alla programmazione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E' stato rispettato il vincolo di destinazione dei finanziamenti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 dati della programmazione definitiva sono correttamente indicati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Esiste corrispondenza tra il contenuto del conto finanziario e le risultanze contabili di cui ai registri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modello H è coerente con gli altri modelli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è concordanza tra i valori indicati nel modello L e le risultanze contabili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E' stato correttamente eseguito il riaccertamento dei residui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modello L è coerente con gli altri modelli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Sono state rispettate le norme regolamentari relative alle procedure di variazione ai beni iscritti nell'inventario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 xml:space="preserve">Il passaggio di consegne dal DSGA uscente al DSGA subentrante è stato realizzato e non si osservano vizi nella procedura applicata  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Vi è concordanza tra i valori indicati e le risultanze contabili dal libro inventario e dagli altri registri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valore dei crediti e debiti indicati corrisponde al valore accertato dei residui attivi e passivi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L'ammontare delle disponibilità liquide indicate coincide con la sommatoria dei saldi al 31/12 comunicati dall'Istituto cassiere Banca d’Italia (mod. 56 T – Tesoreria Unica) nonché da Poste SpA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Le consistenze iniziali sono correttamente riportate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Il modello K è coerente con gli altri modelli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Vi è concordanza tra i valori indicati nel modello J e le risultanze contabili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 xml:space="preserve">L'ammontare del Fondo cassa risultante dal giornale di cassa al 31/12 concorda con il saldo comunicato dall'Istituto cassiere e Banca d’Italia (mod. 56 T – Tesoreria Unica) </w:t>
      </w:r>
    </w:p>
    <w:p>
      <w:pPr>
        <w:pStyle w:val="Normal"/>
        <w:widowControl w:val="false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 xml:space="preserve">La gestione del servizio di cassa dell’Azienda agraria (G01) / Azienda speciale (G02) è conforme alle disposizioni previste dall’art. 25, commi 11 e 12, del DI n. 129/2018 </w:t>
      </w:r>
      <w:bookmarkStart w:id="0" w:name="_GoBack"/>
      <w:bookmarkEnd w:id="0"/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Il modello J è coerente con gli altri modelli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La relazione illustrativa del conto consuntivo contiene gli elementi previsti per le gestioni economiche separate dal DI n. 129/2018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Le scritture contabili della gestione economica risultano tenute come appositamente previsto dal DI n. 129/2018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I registri obbligatori previsti per la gestione economica dalla vigente normativa fiscale risultano regolarmente tenuti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Le risultanze contabili della gestione economica concordano con i registri obbligatori previsti dalla vigente normativa fiscale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Risultano effettuati i versamenti all’Erario dovuti per la gestione economica, come previsto dalla vigente normativa fiscale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Avvenuta presentazione del modello 770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</w:tabs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Rispettato il termine di presentazione del modello 770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Avvenuta presentazione del modello IRAP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Rispettato il termine di presentazione del modello IRAP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Avvenuta presentazione della Certificazione Unica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Rispettato il termine di presentazione della Certificazione Unica</w:t>
      </w:r>
    </w:p>
    <w:p>
      <w:pPr>
        <w:pStyle w:val="Normal"/>
        <w:widowControl w:val="false"/>
        <w:numPr>
          <w:ilvl w:val="0"/>
          <w:numId w:val="7"/>
        </w:numPr>
        <w:spacing w:lineRule="auto" w:line="240" w:before="0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  <w:iCs/>
        </w:rPr>
        <w:t>Avvenuta pubblicazione sul sito istituzionale della Scuola dell’indicatore di tempestività dei pagamenti annuale</w:t>
      </w:r>
    </w:p>
    <w:p>
      <w:pPr>
        <w:pStyle w:val="Normal"/>
        <w:widowControl w:val="false"/>
        <w:tabs>
          <w:tab w:val="clear" w:pos="708"/>
          <w:tab w:val="left" w:pos="400" w:leader="none"/>
        </w:tabs>
        <w:spacing w:lineRule="auto" w:line="240" w:before="0" w:after="0"/>
        <w:ind w:left="20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Conclusioni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 Revisori dei Conti, sulla base degli elementi tratti dagli atti esaminati e dalle verifiche periodiche effettuate nel corso dell'esercizio sulla regolarità della gestione finanziaria e patrimoniale, esprimono parere favorevole all'approvazione del conto consuntivo dell'anno …. da parte del Consiglio di Istituto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oppure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 Revisori dei Conti in relazione a quanto sopra esposto, non esprimono parere favorevole sul conto consuntivo dell'anno …..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Il presente verbale, chiuso alle ore ......................., l'anno ......... il giorno ......... del mese di ........., viene letto, confermato, sottoscritto e successivamente inserito nell'apposito registro.</w:t>
      </w:r>
    </w:p>
    <w:tbl>
      <w:tblPr>
        <w:tblW w:w="9520" w:type="dxa"/>
        <w:jc w:val="left"/>
        <w:tblInd w:w="300" w:type="dxa"/>
        <w:tblLayout w:type="fixed"/>
        <w:tblCellMar>
          <w:top w:w="300" w:type="dxa"/>
          <w:left w:w="300" w:type="dxa"/>
          <w:bottom w:w="300" w:type="dxa"/>
          <w:right w:w="300" w:type="dxa"/>
        </w:tblCellMar>
        <w:tblLook w:firstRow="0" w:noVBand="0" w:lastRow="0" w:firstColumn="0" w:lastColumn="0" w:noHBand="0" w:val="0000"/>
      </w:tblPr>
      <w:tblGrid>
        <w:gridCol w:w="6664"/>
        <w:gridCol w:w="2855"/>
      </w:tblGrid>
      <w:tr>
        <w:trPr/>
        <w:tc>
          <w:tcPr>
            <w:tcW w:w="6664" w:type="dxa"/>
            <w:tcBorders/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...................................</w:t>
            </w:r>
          </w:p>
        </w:tc>
        <w:tc>
          <w:tcPr>
            <w:tcW w:w="2855" w:type="dxa"/>
            <w:tcBorders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6664" w:type="dxa"/>
            <w:tcBorders/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...................................</w:t>
            </w:r>
          </w:p>
        </w:tc>
        <w:tc>
          <w:tcPr>
            <w:tcW w:w="2855" w:type="dxa"/>
            <w:tcBorders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720" w:gutter="0" w:header="720" w:top="777" w:footer="720" w:bottom="777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auto" w:line="240" w:before="0" w:after="0"/>
      <w:rPr>
        <w:rFonts w:ascii="Times New Roman" w:hAnsi="Times New Roman"/>
        <w:color w:val="000000"/>
        <w:sz w:val="20"/>
        <w:szCs w:val="20"/>
      </w:rPr>
    </w:pPr>
    <w:r>
      <w:rPr>
        <w:rFonts w:ascii="Times New Roman" w:hAnsi="Times New Roman"/>
        <w:i/>
        <w:iCs/>
        <w:color w:val="000000"/>
        <w:sz w:val="20"/>
        <w:szCs w:val="20"/>
      </w:rPr>
      <w:t xml:space="preserve">Pagina: </w:t>
    </w:r>
    <w:r>
      <w:rPr>
        <w:rFonts w:ascii="Times New Roman" w:hAnsi="Times New Roman"/>
        <w:i/>
        <w:iCs/>
        <w:color w:val="000000"/>
        <w:sz w:val="20"/>
        <w:szCs w:val="20"/>
      </w:rPr>
      <w:fldChar w:fldCharType="begin"/>
    </w:r>
    <w:r>
      <w:rPr>
        <w:sz w:val="20"/>
        <w:i/>
        <w:szCs w:val="20"/>
        <w:iCs/>
        <w:rFonts w:ascii="Times New Roman" w:hAnsi="Times New Roman"/>
        <w:color w:val="000000"/>
      </w:rPr>
      <w:instrText> PAGE </w:instrText>
    </w:r>
    <w:r>
      <w:rPr>
        <w:sz w:val="20"/>
        <w:i/>
        <w:szCs w:val="20"/>
        <w:iCs/>
        <w:rFonts w:ascii="Times New Roman" w:hAnsi="Times New Roman"/>
        <w:color w:val="000000"/>
      </w:rPr>
      <w:fldChar w:fldCharType="separate"/>
    </w:r>
    <w:r>
      <w:rPr>
        <w:sz w:val="20"/>
        <w:i/>
        <w:szCs w:val="20"/>
        <w:iCs/>
        <w:rFonts w:ascii="Times New Roman" w:hAnsi="Times New Roman"/>
        <w:color w:val="000000"/>
      </w:rPr>
      <w:t>2</w:t>
    </w:r>
    <w:r>
      <w:rPr>
        <w:sz w:val="20"/>
        <w:i/>
        <w:szCs w:val="20"/>
        <w:iCs/>
        <w:rFonts w:ascii="Times New Roman" w:hAnsi="Times New Roman"/>
        <w:color w:val="000000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auto" w:line="240" w:before="0" w:after="0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200"/>
        </w:tabs>
        <w:ind w:left="20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200"/>
        </w:tabs>
        <w:ind w:left="20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400"/>
        </w:tabs>
        <w:ind w:left="400" w:hanging="0"/>
      </w:pPr>
      <w:rPr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426"/>
        </w:tabs>
        <w:ind w:left="426" w:hanging="0"/>
      </w:pPr>
      <w:rPr>
        <w:i w:val="false"/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426"/>
        </w:tabs>
        <w:ind w:left="426" w:hanging="0"/>
      </w:pPr>
      <w:rPr>
        <w:i w:val="false"/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426"/>
        </w:tabs>
        <w:ind w:left="426" w:hanging="0"/>
      </w:pPr>
      <w:rPr>
        <w:i w:val="false"/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426"/>
        </w:tabs>
        <w:ind w:left="426" w:hanging="0"/>
      </w:pPr>
      <w:rPr>
        <w:i w:val="false"/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426"/>
        </w:tabs>
        <w:ind w:left="426" w:hanging="0"/>
      </w:pPr>
      <w:rPr>
        <w:i w:val="false"/>
        <w:rFonts w:cs="Times New Roman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579e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Times New Roman" w:eastAsiaTheme="minorEastAsia"/>
      <w:color w:val="auto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579e8"/>
    <w:rPr>
      <w:rFonts w:cs="Times New Roman"/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semiHidden/>
    <w:qFormat/>
    <w:rsid w:val="008579e8"/>
    <w:rPr>
      <w:rFonts w:eastAsia="" w:cs="Times New Roman" w:eastAsiaTheme="minorEastAsia"/>
      <w:sz w:val="20"/>
      <w:szCs w:val="20"/>
      <w:lang w:eastAsia="it-IT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8579e8"/>
    <w:rPr>
      <w:rFonts w:eastAsia="" w:cs="Times New Roman" w:eastAsiaTheme="minorEastAsia"/>
      <w:b/>
      <w:bCs/>
      <w:sz w:val="20"/>
      <w:szCs w:val="20"/>
      <w:lang w:eastAsia="it-IT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8579e8"/>
    <w:rPr>
      <w:rFonts w:ascii="Segoe UI" w:hAnsi="Segoe UI" w:eastAsia="" w:cs="Segoe UI" w:eastAsiaTheme="minorEastAsia"/>
      <w:sz w:val="18"/>
      <w:szCs w:val="18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8579e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8579e8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8579e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3f5f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paragraph" w:styleId="Pidipagina">
    <w:name w:val="Footer"/>
    <w:basedOn w:val="Intestazioneepidipagina"/>
    <w:pPr/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LibreOffice/7.2.2.2$Windows_X86_64 LibreOffice_project/02b2acce88a210515b4a5bb2e46cbfb63fe97d56</Application>
  <AppVersion>15.0000</AppVersion>
  <Pages>12</Pages>
  <Words>4733</Words>
  <Characters>26261</Characters>
  <CharactersWithSpaces>30029</CharactersWithSpaces>
  <Paragraphs>1082</Paragraphs>
  <Company>Ministero Economia e Finanze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2020-05-25T17:11:00Z</dcterms:created>
  <dc:creator>PANETTA Nunziatina</dc:creator>
  <dc:description/>
  <dc:language>it-IT</dc:language>
  <cp:lastModifiedBy/>
  <cp:lastPrinted>2022-04-05T10:20:09Z</cp:lastPrinted>
  <dcterms:modified xsi:type="dcterms:W3CDTF">2022-04-05T10:21:55Z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