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after="240" w:before="240" w:line="240" w:lineRule="auto"/>
        <w:jc w:val="both"/>
        <w:rPr>
          <w:rFonts w:ascii="Verdana" w:cs="Verdana" w:eastAsia="Verdana" w:hAnsi="Verdana"/>
          <w:b w:val="1"/>
          <w:color w:val="000000"/>
          <w:sz w:val="18"/>
          <w:szCs w:val="18"/>
        </w:rPr>
      </w:pPr>
      <w:bookmarkStart w:colFirst="0" w:colLast="0" w:name="_pk9n00671orw" w:id="0"/>
      <w:bookmarkEnd w:id="0"/>
      <w:r w:rsidDel="00000000" w:rsidR="00000000" w:rsidRPr="00000000">
        <w:rPr>
          <w:rFonts w:ascii="Calibri" w:cs="Calibri" w:eastAsia="Calibri" w:hAnsi="Calibri"/>
          <w:color w:val="000000"/>
          <w:sz w:val="22"/>
          <w:szCs w:val="22"/>
          <w:rtl w:val="0"/>
        </w:rPr>
        <w:t xml:space="preserve">Allegato B </w:t>
      </w:r>
      <w:r w:rsidDel="00000000" w:rsidR="00000000" w:rsidRPr="00000000">
        <w:rPr>
          <w:rtl w:val="0"/>
        </w:rPr>
      </w:r>
    </w:p>
    <w:p w:rsidR="00000000" w:rsidDel="00000000" w:rsidP="00000000" w:rsidRDefault="00000000" w:rsidRPr="00000000" w14:paraId="00000002">
      <w:pPr>
        <w:spacing w:after="0" w:line="276" w:lineRule="auto"/>
        <w:jc w:val="center"/>
        <w:rPr>
          <w:rFonts w:ascii="Verdana" w:cs="Verdana" w:eastAsia="Verdana" w:hAnsi="Verdana"/>
          <w:b w:val="1"/>
          <w:color w:val="000000"/>
          <w:sz w:val="18"/>
          <w:szCs w:val="18"/>
        </w:rPr>
      </w:pPr>
      <w:r w:rsidDel="00000000" w:rsidR="00000000" w:rsidRPr="00000000">
        <w:rPr>
          <w:rFonts w:ascii="Verdana" w:cs="Verdana" w:eastAsia="Verdana" w:hAnsi="Verdana"/>
          <w:b w:val="1"/>
          <w:color w:val="000000"/>
          <w:sz w:val="18"/>
          <w:szCs w:val="18"/>
          <w:rtl w:val="0"/>
        </w:rPr>
        <w:t xml:space="preserve">DICHIARAZIONE DI INESISTENZA DI CAUSA DI INCOMPATIBILITÀ E DI CONFLITTO DI INTERESSI</w:t>
      </w:r>
    </w:p>
    <w:p w:rsidR="00000000" w:rsidDel="00000000" w:rsidP="00000000" w:rsidRDefault="00000000" w:rsidRPr="00000000" w14:paraId="00000003">
      <w:pPr>
        <w:spacing w:after="0" w:line="276" w:lineRule="auto"/>
        <w:jc w:val="center"/>
        <w:rPr>
          <w:rFonts w:ascii="Verdana" w:cs="Verdana" w:eastAsia="Verdana" w:hAnsi="Verdana"/>
          <w:b w:val="1"/>
          <w:color w:val="000000"/>
          <w:sz w:val="18"/>
          <w:szCs w:val="18"/>
        </w:rPr>
      </w:pPr>
      <w:r w:rsidDel="00000000" w:rsidR="00000000" w:rsidRPr="00000000">
        <w:rPr>
          <w:rFonts w:ascii="Verdana" w:cs="Verdana" w:eastAsia="Verdana" w:hAnsi="Verdana"/>
          <w:b w:val="1"/>
          <w:color w:val="000000"/>
          <w:sz w:val="18"/>
          <w:szCs w:val="18"/>
          <w:rtl w:val="0"/>
        </w:rPr>
        <w:t xml:space="preserve">(resa nelle forme di cui agli artt. 46 e 47 del d.P.R. n. 445 del 28 dicembre 2000)</w:t>
      </w:r>
    </w:p>
    <w:p w:rsidR="00000000" w:rsidDel="00000000" w:rsidP="00000000" w:rsidRDefault="00000000" w:rsidRPr="00000000" w14:paraId="00000004">
      <w:pPr>
        <w:spacing w:after="0" w:line="276" w:lineRule="auto"/>
        <w:jc w:val="left"/>
        <w:rPr>
          <w:rFonts w:ascii="Verdana" w:cs="Verdana" w:eastAsia="Verdana" w:hAnsi="Verdana"/>
          <w:b w:val="1"/>
          <w:color w:val="000000"/>
          <w:sz w:val="18"/>
          <w:szCs w:val="18"/>
        </w:rPr>
      </w:pPr>
      <w:r w:rsidDel="00000000" w:rsidR="00000000" w:rsidRPr="00000000">
        <w:rPr>
          <w:rtl w:val="0"/>
        </w:rPr>
      </w:r>
    </w:p>
    <w:p w:rsidR="00000000" w:rsidDel="00000000" w:rsidP="00000000" w:rsidRDefault="00000000" w:rsidRPr="00000000" w14:paraId="00000005">
      <w:pPr>
        <w:spacing w:after="0" w:line="360" w:lineRule="auto"/>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Il/La sottoscritto/a__________________________________________________________</w:t>
      </w:r>
    </w:p>
    <w:p w:rsidR="00000000" w:rsidDel="00000000" w:rsidP="00000000" w:rsidRDefault="00000000" w:rsidRPr="00000000" w14:paraId="00000006">
      <w:pPr>
        <w:spacing w:after="0" w:line="360" w:lineRule="auto"/>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in qualità di Candidato per la  procedura di selezione dei </w:t>
      </w:r>
      <w:r w:rsidDel="00000000" w:rsidR="00000000" w:rsidRPr="00000000">
        <w:rPr>
          <w:rFonts w:ascii="Verdana" w:cs="Verdana" w:eastAsia="Verdana" w:hAnsi="Verdana"/>
          <w:b w:val="1"/>
          <w:color w:val="000000"/>
          <w:sz w:val="18"/>
          <w:szCs w:val="18"/>
          <w:rtl w:val="0"/>
        </w:rPr>
        <w:t xml:space="preserve">FORMATORE/TUTOR </w:t>
      </w:r>
      <w:r w:rsidDel="00000000" w:rsidR="00000000" w:rsidRPr="00000000">
        <w:rPr>
          <w:rFonts w:ascii="Verdana" w:cs="Verdana" w:eastAsia="Verdana" w:hAnsi="Verdana"/>
          <w:color w:val="000000"/>
          <w:sz w:val="18"/>
          <w:szCs w:val="18"/>
          <w:rtl w:val="0"/>
        </w:rPr>
        <w:t xml:space="preserve">per</w:t>
      </w:r>
      <w:r w:rsidDel="00000000" w:rsidR="00000000" w:rsidRPr="00000000">
        <w:rPr>
          <w:rFonts w:ascii="Verdana" w:cs="Verdana" w:eastAsia="Verdana" w:hAnsi="Verdana"/>
          <w:b w:val="1"/>
          <w:color w:val="000000"/>
          <w:sz w:val="18"/>
          <w:szCs w:val="18"/>
          <w:rtl w:val="0"/>
        </w:rPr>
        <w:t xml:space="preserve"> </w:t>
      </w:r>
      <w:r w:rsidDel="00000000" w:rsidR="00000000" w:rsidRPr="00000000">
        <w:rPr>
          <w:rFonts w:ascii="Verdana" w:cs="Verdana" w:eastAsia="Verdana" w:hAnsi="Verdana"/>
          <w:color w:val="000000"/>
          <w:sz w:val="18"/>
          <w:szCs w:val="18"/>
          <w:rtl w:val="0"/>
        </w:rPr>
        <w:t xml:space="preserve">la realizzazione di </w:t>
      </w:r>
      <w:r w:rsidDel="00000000" w:rsidR="00000000" w:rsidRPr="00000000">
        <w:rPr>
          <w:rFonts w:ascii="Verdana" w:cs="Verdana" w:eastAsia="Verdana" w:hAnsi="Verdana"/>
          <w:color w:val="212529"/>
          <w:sz w:val="18"/>
          <w:szCs w:val="18"/>
          <w:rtl w:val="0"/>
        </w:rPr>
        <w:t xml:space="preserve">percorsi di formazione </w:t>
      </w:r>
      <w:r w:rsidDel="00000000" w:rsidR="00000000" w:rsidRPr="00000000">
        <w:rPr>
          <w:rFonts w:ascii="Verdana" w:cs="Verdana" w:eastAsia="Verdana" w:hAnsi="Verdana"/>
          <w:color w:val="000000"/>
          <w:sz w:val="18"/>
          <w:szCs w:val="18"/>
          <w:rtl w:val="0"/>
        </w:rPr>
        <w:t xml:space="preserve">in attuazione Progetto: </w:t>
      </w:r>
      <w:r w:rsidDel="00000000" w:rsidR="00000000" w:rsidRPr="00000000">
        <w:rPr>
          <w:rFonts w:ascii="Verdana" w:cs="Verdana" w:eastAsia="Verdana" w:hAnsi="Verdana"/>
          <w:b w:val="1"/>
          <w:color w:val="000000"/>
          <w:sz w:val="18"/>
          <w:szCs w:val="18"/>
          <w:rtl w:val="0"/>
        </w:rPr>
        <w:t xml:space="preserve">M4C1I2.1-2023-1222-P-32963 </w:t>
      </w:r>
      <w:r w:rsidDel="00000000" w:rsidR="00000000" w:rsidRPr="00000000">
        <w:rPr>
          <w:rFonts w:ascii="Verdana" w:cs="Verdana" w:eastAsia="Verdana" w:hAnsi="Verdana"/>
          <w:color w:val="000000"/>
          <w:sz w:val="18"/>
          <w:szCs w:val="18"/>
          <w:rtl w:val="0"/>
        </w:rPr>
        <w:t xml:space="preserve">- Titolo del progetto: “</w:t>
      </w:r>
      <w:r w:rsidDel="00000000" w:rsidR="00000000" w:rsidRPr="00000000">
        <w:rPr>
          <w:rFonts w:ascii="Verdana" w:cs="Verdana" w:eastAsia="Verdana" w:hAnsi="Verdana"/>
          <w:b w:val="1"/>
          <w:color w:val="000000"/>
          <w:sz w:val="18"/>
          <w:szCs w:val="18"/>
          <w:rtl w:val="0"/>
        </w:rPr>
        <w:t xml:space="preserve">Comunità digitale”</w:t>
      </w:r>
      <w:r w:rsidDel="00000000" w:rsidR="00000000" w:rsidRPr="00000000">
        <w:rPr>
          <w:rFonts w:ascii="Verdana" w:cs="Verdana" w:eastAsia="Verdana" w:hAnsi="Verdana"/>
          <w:color w:val="212529"/>
          <w:sz w:val="18"/>
          <w:szCs w:val="18"/>
          <w:shd w:fill="eef7ff" w:val="clear"/>
          <w:rtl w:val="0"/>
        </w:rPr>
        <w:t xml:space="preserve"> </w:t>
      </w:r>
      <w:r w:rsidDel="00000000" w:rsidR="00000000" w:rsidRPr="00000000">
        <w:rPr>
          <w:rFonts w:ascii="Verdana" w:cs="Verdana" w:eastAsia="Verdana" w:hAnsi="Verdana"/>
          <w:b w:val="1"/>
          <w:color w:val="000000"/>
          <w:sz w:val="18"/>
          <w:szCs w:val="18"/>
          <w:rtl w:val="0"/>
        </w:rPr>
        <w:t xml:space="preserve">CUP: </w:t>
      </w:r>
      <w:r w:rsidDel="00000000" w:rsidR="00000000" w:rsidRPr="00000000">
        <w:rPr>
          <w:rFonts w:ascii="Verdana" w:cs="Verdana" w:eastAsia="Verdana" w:hAnsi="Verdana"/>
          <w:b w:val="1"/>
          <w:color w:val="212529"/>
          <w:sz w:val="18"/>
          <w:szCs w:val="18"/>
          <w:rtl w:val="0"/>
        </w:rPr>
        <w:t xml:space="preserve">H64D23004030006</w:t>
      </w:r>
      <w:r w:rsidDel="00000000" w:rsidR="00000000" w:rsidRPr="00000000">
        <w:rPr>
          <w:rFonts w:ascii="Verdana" w:cs="Verdana" w:eastAsia="Verdana" w:hAnsi="Verdana"/>
          <w:color w:val="000000"/>
          <w:sz w:val="18"/>
          <w:szCs w:val="18"/>
          <w:rtl w:val="0"/>
        </w:rPr>
        <w:t xml:space="preserve">,</w:t>
      </w:r>
    </w:p>
    <w:p w:rsidR="00000000" w:rsidDel="00000000" w:rsidP="00000000" w:rsidRDefault="00000000" w:rsidRPr="00000000" w14:paraId="00000007">
      <w:pPr>
        <w:spacing w:after="0" w:line="360" w:lineRule="auto"/>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000000" w:rsidDel="00000000" w:rsidP="00000000" w:rsidRDefault="00000000" w:rsidRPr="00000000" w14:paraId="00000008">
      <w:pPr>
        <w:spacing w:after="0" w:line="276" w:lineRule="auto"/>
        <w:jc w:val="center"/>
        <w:rPr>
          <w:rFonts w:ascii="Verdana" w:cs="Verdana" w:eastAsia="Verdana" w:hAnsi="Verdana"/>
          <w:b w:val="1"/>
          <w:color w:val="000000"/>
          <w:sz w:val="18"/>
          <w:szCs w:val="18"/>
        </w:rPr>
      </w:pPr>
      <w:r w:rsidDel="00000000" w:rsidR="00000000" w:rsidRPr="00000000">
        <w:rPr>
          <w:rFonts w:ascii="Verdana" w:cs="Verdana" w:eastAsia="Verdana" w:hAnsi="Verdana"/>
          <w:b w:val="1"/>
          <w:color w:val="000000"/>
          <w:sz w:val="18"/>
          <w:szCs w:val="18"/>
          <w:rtl w:val="0"/>
        </w:rPr>
        <w:t xml:space="preserve">DICHIARA</w:t>
      </w:r>
    </w:p>
    <w:p w:rsidR="00000000" w:rsidDel="00000000" w:rsidP="00000000" w:rsidRDefault="00000000" w:rsidRPr="00000000" w14:paraId="00000009">
      <w:pPr>
        <w:spacing w:after="0" w:line="276" w:lineRule="auto"/>
        <w:jc w:val="center"/>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0A">
      <w:pPr>
        <w:spacing w:after="0" w:line="276" w:lineRule="auto"/>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di non trovarsi in situazione di incompatibilità, ai sensi di quanto previsto dal d.lgs. n. 39/2013 e dall’art. 53, del d.lgs. n. 165/2001; </w:t>
      </w:r>
    </w:p>
    <w:p w:rsidR="00000000" w:rsidDel="00000000" w:rsidP="00000000" w:rsidRDefault="00000000" w:rsidRPr="00000000" w14:paraId="0000000B">
      <w:pPr>
        <w:spacing w:after="0" w:line="276" w:lineRule="auto"/>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0C">
      <w:pPr>
        <w:numPr>
          <w:ilvl w:val="0"/>
          <w:numId w:val="1"/>
        </w:numPr>
        <w:spacing w:after="0" w:line="276" w:lineRule="auto"/>
        <w:ind w:left="284"/>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di non trovarsi in situazioni di conflitto di interessi, anche potenziale, ai sensi dell’art. 53, comma 14, del d.lgs. n. 165/2001, che possano interferire con l’esercizio dell’incarico;</w:t>
      </w:r>
    </w:p>
    <w:p w:rsidR="00000000" w:rsidDel="00000000" w:rsidP="00000000" w:rsidRDefault="00000000" w:rsidRPr="00000000" w14:paraId="0000000D">
      <w:pPr>
        <w:numPr>
          <w:ilvl w:val="0"/>
          <w:numId w:val="1"/>
        </w:numPr>
        <w:spacing w:after="0" w:line="276" w:lineRule="auto"/>
        <w:ind w:left="284"/>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0E">
      <w:pPr>
        <w:numPr>
          <w:ilvl w:val="0"/>
          <w:numId w:val="1"/>
        </w:numPr>
        <w:spacing w:after="0" w:line="276" w:lineRule="auto"/>
        <w:ind w:left="284"/>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0F">
      <w:pPr>
        <w:numPr>
          <w:ilvl w:val="0"/>
          <w:numId w:val="1"/>
        </w:numPr>
        <w:spacing w:after="0" w:line="276" w:lineRule="auto"/>
        <w:ind w:left="284"/>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di impegnarsi a comunicare tempestivamente all’Istituzione scolastica conferente eventuali variazioni che dovessero intervenire nel corso dello svolgimento dell’incarico;</w:t>
      </w:r>
    </w:p>
    <w:p w:rsidR="00000000" w:rsidDel="00000000" w:rsidP="00000000" w:rsidRDefault="00000000" w:rsidRPr="00000000" w14:paraId="00000010">
      <w:pPr>
        <w:numPr>
          <w:ilvl w:val="0"/>
          <w:numId w:val="1"/>
        </w:numPr>
        <w:spacing w:after="0" w:line="276" w:lineRule="auto"/>
        <w:ind w:left="284"/>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11">
      <w:pPr>
        <w:numPr>
          <w:ilvl w:val="0"/>
          <w:numId w:val="1"/>
        </w:numPr>
        <w:spacing w:after="0" w:line="276" w:lineRule="auto"/>
        <w:ind w:left="284"/>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12">
      <w:pPr>
        <w:keepNext w:val="1"/>
        <w:widowControl w:val="0"/>
        <w:spacing w:after="0" w:before="51" w:line="278.00000000000006"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3">
      <w:pPr>
        <w:widowControl w:val="0"/>
        <w:spacing w:after="0" w:before="51" w:line="278.00000000000006" w:lineRule="auto"/>
        <w:ind w:left="232"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Data,_______________________</w:t>
        <w:tab/>
        <w:tab/>
        <w:t xml:space="preserve">     </w:t>
        <w:tab/>
        <w:t xml:space="preserve">___________________________</w:t>
      </w:r>
    </w:p>
    <w:p w:rsidR="00000000" w:rsidDel="00000000" w:rsidP="00000000" w:rsidRDefault="00000000" w:rsidRPr="00000000" w14:paraId="00000014">
      <w:pPr>
        <w:widowControl w:val="0"/>
        <w:spacing w:after="0" w:before="51" w:line="278.00000000000006" w:lineRule="auto"/>
        <w:ind w:left="232" w:firstLine="0"/>
        <w:rPr>
          <w:rFonts w:ascii="Calibri" w:cs="Calibri" w:eastAsia="Calibri" w:hAnsi="Calibri"/>
          <w:color w:val="000000"/>
        </w:rPr>
      </w:pPr>
      <w:r w:rsidDel="00000000" w:rsidR="00000000" w:rsidRPr="00000000">
        <w:rPr>
          <w:rFonts w:ascii="Calibri" w:cs="Calibri" w:eastAsia="Calibri" w:hAnsi="Calibri"/>
          <w:color w:val="000000"/>
          <w:rtl w:val="0"/>
        </w:rPr>
        <w:tab/>
        <w:tab/>
        <w:tab/>
        <w:tab/>
        <w:tab/>
        <w:tab/>
        <w:tab/>
        <w:tab/>
        <w:tab/>
        <w:t xml:space="preserve">Firma</w:t>
      </w:r>
    </w:p>
    <w:p w:rsidR="00000000" w:rsidDel="00000000" w:rsidP="00000000" w:rsidRDefault="00000000" w:rsidRPr="00000000" w14:paraId="00000015">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Verdana"/>
  <w:font w:name="Playfair Displ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Playfair Display" w:cs="Playfair Display" w:eastAsia="Playfair Display" w:hAnsi="Playfair Display"/>
        <w:color w:val="333333"/>
        <w:sz w:val="22"/>
        <w:szCs w:val="22"/>
        <w:lang w:val="it"/>
      </w:rPr>
    </w:rPrDefault>
    <w:pPrDefault>
      <w:pPr>
        <w:spacing w:after="300" w:line="276"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480" w:before="400" w:lineRule="auto"/>
      <w:jc w:val="center"/>
    </w:pPr>
    <w:rPr>
      <w:color w:val="cc0000"/>
      <w:sz w:val="32"/>
      <w:szCs w:val="32"/>
    </w:rPr>
  </w:style>
  <w:style w:type="paragraph" w:styleId="Heading2">
    <w:name w:val="heading 2"/>
    <w:basedOn w:val="Normal"/>
    <w:next w:val="Normal"/>
    <w:pPr>
      <w:keepNext w:val="1"/>
      <w:keepLines w:val="1"/>
      <w:pageBreakBefore w:val="0"/>
      <w:spacing w:after="240" w:before="960" w:lineRule="auto"/>
      <w:ind w:right="6.141732283464876"/>
      <w:jc w:val="center"/>
    </w:pPr>
    <w:rPr>
      <w:color w:val="cc0000"/>
      <w:sz w:val="28"/>
      <w:szCs w:val="28"/>
    </w:rPr>
  </w:style>
  <w:style w:type="paragraph" w:styleId="Heading3">
    <w:name w:val="heading 3"/>
    <w:basedOn w:val="Normal"/>
    <w:next w:val="Normal"/>
    <w:pPr>
      <w:keepNext w:val="1"/>
      <w:keepLines w:val="1"/>
      <w:pageBreakBefore w:val="0"/>
      <w:spacing w:after="240" w:before="480" w:lineRule="auto"/>
    </w:pPr>
    <w:rPr>
      <w:color w:val="cc0000"/>
      <w:sz w:val="24"/>
      <w:szCs w:val="24"/>
    </w:rPr>
  </w:style>
  <w:style w:type="paragraph" w:styleId="Heading4">
    <w:name w:val="heading 4"/>
    <w:basedOn w:val="Normal"/>
    <w:next w:val="Normal"/>
    <w:pPr>
      <w:keepNext w:val="1"/>
      <w:keepLines w:val="1"/>
      <w:pageBreakBefore w:val="0"/>
      <w:spacing w:after="80" w:before="280" w:lineRule="auto"/>
    </w:pPr>
    <w:rPr>
      <w:b w:val="1"/>
      <w:color w:val="666666"/>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lineRule="auto"/>
      <w:jc w:val="center"/>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layfairDisplay-regular.ttf"/><Relationship Id="rId2" Type="http://schemas.openxmlformats.org/officeDocument/2006/relationships/font" Target="fonts/PlayfairDisplay-bold.ttf"/><Relationship Id="rId3" Type="http://schemas.openxmlformats.org/officeDocument/2006/relationships/font" Target="fonts/PlayfairDisplay-italic.ttf"/><Relationship Id="rId4" Type="http://schemas.openxmlformats.org/officeDocument/2006/relationships/font" Target="fonts/PlayfairDisplay-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