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tabs>
          <w:tab w:val="left" w:leader="none" w:pos="3010"/>
          <w:tab w:val="center" w:leader="none" w:pos="4825"/>
        </w:tabs>
        <w:ind w:right="-12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3.2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Scuola 4.0. Scuole innovative, cablaggio, nuovi ambienti di apprendimento e laboratori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Azione 1: Next generation classrooms - Ambienti di apprendimento innovativi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ESEMPIO DI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 avente ad oggetto attività di supporto tecnico-amministrativo al R.U.P., RELATIVO AL PROGETTO “Ambienti di apprendimento innovativi” 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Codice progetto M4C1I3.2-2022-961 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C.U.P. I34D22003040006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8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favorire una compilazione più veloce, il testo è stato così suddiviso:</w:t>
            </w:r>
          </w:p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3"/>
              </w:numPr>
              <w:spacing w:after="120" w:before="12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testo evidenziato in </w:t>
            </w:r>
            <w:r w:rsidDel="00000000" w:rsidR="00000000" w:rsidRPr="00000000">
              <w:rPr>
                <w:rFonts w:ascii="Calibri" w:cs="Calibri" w:eastAsia="Calibri" w:hAnsi="Calibri"/>
                <w:highlight w:val="green"/>
                <w:rtl w:val="0"/>
              </w:rPr>
              <w:t xml:space="preserve">verde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si riferisce alle parti da compilare sempre (le specifiche sono indicate tra parentesi);</w:t>
            </w:r>
          </w:p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3"/>
              </w:numPr>
              <w:spacing w:after="120" w:before="120" w:line="276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testo evidenziato in 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giallo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si riferisce alle parti da inserire solo "in caso di" o qualora lo si ritenga opportuno.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green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D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green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 del [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green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 e, nello specifico, di: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eventuale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 requisito della particolare e comprovata specializzazione anche universitaria strettamente correlata al contenuto della prestazione richiesta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 previsione del requisito dipende dalla specificità dell’incarico e dalla conseguente esigenza di ricorrere a soggetti esterni, come indicato nell’art. 7, comma 6, del D.Lgs. n. 165/2001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eventuale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il seguente titolo accademico o di studio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inserire il titolo richiesto ai fini della partecipazione alla procedura in oggetto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inserire ulteriori requisiti qualora ritenuti necessari, in conformità alle esigenze dell’Istituzione scolastica e tenuto conto delle specificità dell’incarico da affidare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[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Times New Roman"/>
  <w:font w:name="Courier New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9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6119820" cy="1308100"/>
          <wp:effectExtent b="0" l="0" r="0" t="0"/>
          <wp:docPr id="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188+xi5DkDN+t57jgEw0/ehqvw==">CgMxLjAyCWguMzBqMHpsbDIJaC4xZm9iOXRlMgloLjN6bnlzaDcyCWguMmV0OTJwMDgAciExX0ZYeURVckRvTUFIOFo0N01zWXg2N1VGMVZBVDRhZV8=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