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5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50"/>
        <w:tblGridChange w:id="0">
          <w:tblGrid>
            <w:gridCol w:w="10150"/>
          </w:tblGrid>
        </w:tblGridChange>
      </w:tblGrid>
      <w:tr>
        <w:trPr>
          <w:cantSplit w:val="0"/>
          <w:tblHeader w:val="0"/>
        </w:trPr>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283"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283"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2 al Bando di gara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283"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CAPITOLATO TECNICO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283"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283"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SCHEMA CAPITOLATO TECNICO PER L’AFFIDAMENTO DEL SERVIZIO DI CASSA A FAVORE DELL’ISTITUTO </w:t>
      </w:r>
      <w:r w:rsidDel="00000000" w:rsidR="00000000" w:rsidRPr="00000000">
        <w:rPr>
          <w:rFonts w:ascii="Times New Roman" w:cs="Times New Roman" w:eastAsia="Times New Roman" w:hAnsi="Times New Roman"/>
          <w:b w:val="1"/>
          <w:sz w:val="24"/>
          <w:szCs w:val="24"/>
          <w:rtl w:val="0"/>
        </w:rPr>
        <w:t xml:space="preserve">CPIA DI VICENZA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Definizioni</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Allegato Tecnico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Linee Guida di DigitPA del 21 luglio 2011 recanti l’“Aggiornamento dello standard OIL – Applicazione alle Istituzioni Scolastiche”.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Convenzione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documento che viene stipulato con l’Aggiudicatario della presente procedura, il quale espone gli obblighi e i diritti che intercorrono reciprocamente tra l’Istituto e il Gestore.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 129/2018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Decreto Interministeriale n. 129 del 2018, Regolamento concernente le “Istruzioni generali sulla gestione amministrativo-contabile delle Istituzioni Scolastiche”.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D.L. 95/2012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Decreto Legge n. 95 del 6 luglio 2012 convertito nella legge 135/2012, Disposizioni urgenti per la revisione della spesa pubblica con invarianza dei servizi ai cittadini.</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D.M. 22 novembre 1985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Decreto Ministeriale del 22 novembre 1985, Entrata in vigore del sistema di tesoreria unica, Ministero del Tesoro.</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D.M. 4 agosto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Decreto Ministeriale del 4 agosto 2009, Nuove modalità di regolamento  telematico dei rapporti tra tesorieri e cassieri degli Enti ed organismi di cui alla tabella A allegata alla legge 29 ottobre 1984, n. 720, e la Tesoreria dello Stato, Ministero dell’Economia e delle Finanze.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 MEF 27 aprile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Decreto del Ministero dell’Economia e delle Finanze del 27 aprile 2012, in tema di Tesoreria Unica.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Direttore dei Servizi Generali ed Amministrativi (DSGA)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Dirigente Scolastico (DS)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Firma digitale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D.Lgs. n. 82 del 7 marzo 2005 e relative norme di attuazione ed esecuzione.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Gestore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soggetto - Banca– cui, in caso di aggiudicazione e successiva sottoscrizione della Convenzione, sarà affidato il servizio.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Accordi/protocolli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quanto concordato nei rispettivi tavoli tecnici con ABI e con Poste Italiane S.p.A.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Istituto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Istituzione Scolastica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Legge 720/1984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legge del 29 ottobre 1984, n. 720, Istituzione del sistema di tesoreria unica per enti ed organismi pubblici.</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Ministero dell’Istruzione dell’Università e della Ricerca.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[Rete Scuole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Istituzioni Scolastiche che stipulano accordi di rete o aderiscono ad essi per il raggiungimento della proprie finalità istituzionali ivi comprese le attività di acquisto di beni e servizi (art. 7, 2° comma, del d.P.R. n. 275 dell’8 marzo 1999, «Regolamento recante norme in materia di autonomia delle istituzioni scolastiche, ai sensi dell'art. 21 della L. 15 marzo 1997, n. 59») ferma restando l’autonomia dei singoli bilanci.]</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Servizio di cassa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servizio oggetto del presente capitolato è conforme a quanto previsto allo Schema di Convenzione nonché al D.I. 129/2018.</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presente Capitolato ha ad oggetto i servizi di cui allo Schema di Convenzione, necessari per la gestione del servizio di cassa a favore dell’Istituto.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seguito si rappresentano gli elementi caratterizzanti l’Istituto </w:t>
      </w:r>
      <w:r w:rsidDel="00000000" w:rsidR="00000000" w:rsidRPr="00000000">
        <w:rPr>
          <w:rFonts w:ascii="Times New Roman" w:cs="Times New Roman" w:eastAsia="Times New Roman" w:hAnsi="Times New Roman"/>
          <w:sz w:val="24"/>
          <w:szCs w:val="24"/>
          <w:rtl w:val="0"/>
        </w:rPr>
        <w:t xml:space="preserve">Scolastico Statale “CPIA DI VICENZA”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340"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Istituto </w:t>
      </w:r>
      <w:r w:rsidDel="00000000" w:rsidR="00000000" w:rsidRPr="00000000">
        <w:rPr>
          <w:rFonts w:ascii="Times New Roman" w:cs="Times New Roman" w:eastAsia="Times New Roman" w:hAnsi="Times New Roman"/>
          <w:sz w:val="24"/>
          <w:szCs w:val="24"/>
          <w:rtl w:val="0"/>
        </w:rPr>
        <w:t xml:space="preserve">Scolastico Statale “CPIA DI VICENZA”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340"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dotazione ordinaria ultimo anno 2</w:t>
      </w:r>
      <w:r w:rsidDel="00000000" w:rsidR="00000000" w:rsidRPr="00000000">
        <w:rPr>
          <w:rFonts w:ascii="Times New Roman" w:cs="Times New Roman" w:eastAsia="Times New Roman" w:hAnsi="Times New Roman"/>
          <w:sz w:val="24"/>
          <w:szCs w:val="24"/>
          <w:rtl w:val="0"/>
        </w:rPr>
        <w:t xml:space="preserve">022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€ 16069,89 - </w:t>
      </w:r>
      <w:r w:rsidDel="00000000" w:rsidR="00000000" w:rsidRPr="00000000">
        <w:rPr>
          <w:rFonts w:ascii="Times New Roman" w:cs="Times New Roman" w:eastAsia="Times New Roman" w:hAnsi="Times New Roman"/>
          <w:sz w:val="24"/>
          <w:szCs w:val="24"/>
          <w:rtl w:val="0"/>
        </w:rPr>
        <w:t xml:space="preserve">anno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2021 €39266,67</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340"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mandati 451  emessi ultimo anno</w:t>
      </w:r>
      <w:r w:rsidDel="00000000" w:rsidR="00000000" w:rsidRPr="00000000">
        <w:rPr>
          <w:rFonts w:ascii="Times New Roman" w:cs="Times New Roman" w:eastAsia="Times New Roman" w:hAnsi="Times New Roman"/>
          <w:sz w:val="24"/>
          <w:szCs w:val="24"/>
          <w:rtl w:val="0"/>
        </w:rPr>
        <w:t xml:space="preserve">  -anno 2021 n mandati 314</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340"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n.54 reversali incassate ultimo anno - anno 2021 n. reversali 82</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340"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titoli e valori da amministrare: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40" w:right="0" w:hanging="3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progetti europei ultimo anno e ultimo triennio : </w:t>
      </w: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precisa che, ai sensi del D.I 129/2018, l’esercizio finanziario degli Istituti Scolastici ha durata annuale, con inizio il 1° gennaio e termine il 31 dicembre di ciascun anno; dopo tale termine non possono essere effettuati accertamenti di entrata ed impegni di spesa in conto dell’esercizio scaduto.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precisa inoltre che gli Istituti Scolastici, ai sensi del D.L. 95/2012 convertito nella legge 135/2012, si intendono inclusi nella tabella A annessa alla legge 720/1984 e pertanto sottoposti a regime di Tesoreria Unica di cui alla medesima legge ss. mm. e ii., nonché ai decreti attuativi del 22 novembre 1985, 4 agosto 2009 e 27 aprile 2012 ss. mm. e ii..</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Oggetto dell’Appalto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Oggetto dell’Appalto è l’affidamento della gestione del servizio di cassa per un periodo di 36 (trentasei) mesi, comprensivo dei servizi di seguito descritti tra cui la riscossione delle entrate e il pagamento delle spese facenti capo all’Istituto e dallo stesso ordinate, la custodia e amministrazione dei titoli e valori, il rilascio di carte di credito, di debito e prepagate, i servizi di anticipazione di cassa e di apertura di credito finalizzate alla realizzazione di progetti formativi, l’attivazione di strumenti evoluti di incasso.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corso della durata contrattuale, relativamente alle disponibilità non sottoposte al regime di tesoreria unica, quali, a titolo esemplificativo, valori mobiliari provenienti da atti di liberalità di privati che hanno posto uno specifico vincolo di destinazione al lascito e risorse rivenienti da operazioni di indebitamento, non sorrette da contributo pubblico (cfr. D.M. 22 Novembre 1985 ss. mm. e ii), è facoltà dell’Istituto richiedere al Gestore servizi consulenziali volti a migliorare la redditività delle giacenze concordando con il Gestore tempi e modalità di vincolo delle giacenze stesse.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nell’Allegato tecnico sul formato dei flussi di cui alle Linee Guida di DigitPA del 21 luglio 2011 recanti l’“Aggiornamento dello standard OIL – Applicazione alle Istituzioni Scolastiche”. L’OIL deve essere comunque sottoscritto con firma digitale.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L’erogazione del servizio mediante OIL rappresenta una prescrizione minima del presente capitolato e s’intende prestato dal Gestore a titolo gratuito, pertanto non saranno ammesse offerte che non prevedano l’utilizzo di tale strumento.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fine di garantire l’integrità, la riservatezza, la legittimità e la non ripudiabilità dei documenti trasmessi elettronicamente dall’Istituto, il Gestore si impegna a:</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mettere a disposizione un sistema di codici personali di accesso per i soggetti individuati dall’Istituto medesimo;</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fornire gratuitamente non meno di due chiavi e lettori di firma digitale, al fine di consentire all’Istituto di assolvere agli obblighi di firma digitale nell’utilizzo di OIL;</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attivare il funzionamento e lo scambio dei flussi OIL.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Nell’ambito dell’offerta tecnica il Gestore potrà descrivere eventuali servizi aggiuntivi messi a disposizione dell’Istituto, sia a garanzia del più efficiente utilizzo dell’OIL, quale strumento di automazione degli incassi e dei pagamenti, sia per il miglioramento dei processi e degli strumenti di gestione amministrativa, contabile ed organizzativa. Tali servizi potranno riguardare, a mero titolo esemplificativo, attività formative, assistenza e fornitura di strumenti informatici a supporto.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L’Istituto corrisponderà, inoltre, al Gestore il compenso e le spese annue di gestione e tenuta conto, ivi comprese le spese per attività di riscossione (par. 2.1) e di pagamento (par. 2.2), alle quali andranno ad aggiungersi, in conformità all’art. 15 dello Schema di Convenzione, anche le spese di emissione e gestione delle carte di credito (par. 2.3), amministrazione titoli e valori (par. 2.6), nonché l’attivazione dei servizi 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banking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consentendo all’Istituto di usufruire di informazioni e strumenti, in modo sicuro ed in tempo reale, tramite canali tecnologici, telematici ed elettronici.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modalità di remunerazione dei servizi sopra elencati e degli ulteriori è di seguito descritta.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L’Istituto, ai sensi dell’art. 13 dello Schema di Convenzione, ha diritto di procedere a verifiche di cassa e dei valori dati in carico ogni qualvolta lo ritenga necessario ed opportuno. Il Gestore deve esibire, ad ogni richiesta, la documentazione informatica e le evidenze contabili relative alla gestione.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dovrà mettere a disposizione dell’Istituto tutti gli sportelli dislocati sul territorio nazionale, al fine di garantire la circolarità delle operazioni di incasso e pagamento presso uno qualsiasi degli stessi.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seguito sono dettagliatamente descritti i servizi oggetto dell’appalto; resta inteso che gli stessi dovranno essere prestati dal Gestore in conformità al presente Capitolato, allo Schema di Convenzione, al D.I. 129/2018 ss. mm. e ii., al D.L. 95/2012 convertito nella legge 135/2012, alla Legge 720/1984 ss. mm. e ii, ai decreti attuativi del 22 novembre 1985, 4 agosto 2009 e 27 Aprile 2012 ss. mm. e ii, nonché all’Allegato Tecnico.</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1004"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Gestione delle riscossioni</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entrate sono riscosse dal Gestore in base ad ordinativi di incasso (reversali) emessi dall'Istituto tramite OIL firmati digitalmente dal Dirigente Scolastico e dal Direttore dei Servizi Generali ed Amministrativi.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procederà a caricare in procedura le reversali entro il secondo giorno lavorativo successivo a quello dell’invio del messaggio di presa in carico.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360" w:lineRule="auto"/>
        <w:ind w:left="1288"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attivazione sistemi di incasso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 richiesta dell’Istituto il Gestore dovrà attivare i seguenti strumenti di incasso, nei tempi e modalità concordate con il Dirigente Scolastico e il Direttore dei Servizi Generali ed Amministrativi: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bonifico;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MAV (pagamento Mediante Avviso) bancario e postale;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RID (Rapporto Interbancario Diretto) bancario e postale;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RIBA (ricevuta bancaria);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incasso domiciliato;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bollettino;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Pago In Rete;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Acquiring (POS fisico o virtuale).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Tali strumenti sono finalizzati ad ottimizzare e velocizzare la fase di riscossione delle entrate patrimoniali e assicurare la sollecita trasmissione dei dati riferiti all’incasso.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ciascuno di tali strumenti, l’Istituto corrisponderà al Gestore un compenso unitario per singola transazione, come indicato in sede di presentazione delle offerte.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caso di attivazione di POS fisico, il Gestore deve fornire all’Istituto, in comodato d’uso gratuito, una postazione comprensiva di tutto quanto necessario per il corretto funzionamento e utilizzo dello strumento (hardware, software, ecc.).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Resta inteso che le eventuali spese di gestione del servizio POS sono in carico al Gestore; l’Istituto corrisponderà al Gestore stesso, esclusivamente un compenso per singola transazione, come indicato in sede di presentazione delle offerte.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1004"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Gestione dei pagamenti</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pagamenti sono effettuati dal Gestore in base ad ordinativi di pagamento (mandati) emessi dall'Istituto tramite OIL firmati digitalmente dal Dirigente scolastico e dal Direttore dei Servizi Generali ed Amministrativi e relativi ad un unico beneficiario.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mandati devono essere ammessi al pagamento entro e non oltre il secondo 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all’art. 5, comma 10 dello Schema di Convezione.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dell’art. 15 dello Schema di Convenzione.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L’Istituto emette i mandati nel rispetto delle prescrizioni di cui all’art. 12, comma 2, del D.L. 201/2011 convertito con modifiche dalla L. 214/2011.</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1004"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Rilascio carte aziendali di credito, di debito e prepagate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 richiesta dell’Istituto, il Gestore rilascia carte di credito, di debito e prepagate regolate da apposito contratto. Le carte devono essere intestate esclusivamente al Dirigente Scolastico, ovvero a soggetti dallo stesso delegati all’utilizzo delle medesime.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corso di validità contrattuale, il servizio di attivazione e di gestione delle carte di debito e delle carte prepagate - nelle quantità definite dal Dirigente Scolastico - deve intendersi prestato a titolo gratuito fatta eccezione degli oneri di ricarica per le carte prepagate; per tali oneri l’Istituto corrisponderà al Gestore quanto indicato in sede di presentazione delle offerte.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l’attivazione e gestione delle carte di credito l’Istituto corrisponderà al Gestore il compenso indicato dallo stesso in sede di presentazione delle offerte che sarà ricompreso nell’ambito dell’art. 15 dello Schema di Convenzione.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360" w:lineRule="auto"/>
        <w:ind w:left="1004"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Anticipazioni di cassa</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solo caso di mancata disponibilità di fondi e per sopperire a momentanee esigenze dell’Istituto, su richiesta del Dirigente Scolastico, il Gestore, come previsto dall’art. 8, comma 1 dello Schema di Convenzione, si impegna a concedere anticipazioni di cassa nei limiti dei tre dodicesimi del trasferimento erogato dal MIUR nell’anno precedente, a titolo di dotazione ordinaria.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Gli interessi a carico dell’Istituto sulle somme anticipate decorrono dalla data dell’effettivo utilizzo delle somme stesse e sono pari a quanto indicato dal Gestore in sede di presentazione dell’offerta, conformemente con quanto previsto all’art. 14, comma 2 dello Schema di Convenzione. Il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procede al rientro delle anticipazioni utilizzate ai sensi della normativa e dei regolamenti vigenti.</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1004"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Apertura di credito finalizzate alla realizzazione di progetti formativi</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conclusione dell’</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autorizzativo dei progetti di formazione finanziati con trasferimenti statali ovvero comunitari, il Dirigente Scolastico, nelle more della ricezione di tali finanziamenti, può richiedere al Gestore apposite aperture di credito finalizzate alla realizzazione degli stessi.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come previsto dall’art. 9 comma 3, dello Schema di Convenzione, s’impegna a concedere aperture di credito per progetti formativi nei limiti della percentuale indicata in sede di presentazione dell’offerta, calcolata sul valore del trasferimento erogato dal MIUR nell’anno precedente, a titolo di dotazione ordinaria.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Resta inteso che, nel calcolo di tale limite l’Istituto deve comunque ricomprendere anche gli importi di eventuali aperture di credito concesse dal gestore uscente e non ancora rientrate. La durata massima di dette operazioni non può superare i diciotto mesi.</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procede di iniziativa per l’immediato rientro delle aperture di credito utilizzate non appena si verifichino le entrate di cui ai predetti finanziamenti statali o comunitari.</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ciascuna richiesta l’Istituto corrisponderà al Gestore il tasso indicato in sede di presentazione dell’offerta, conformemente con quanto previsto all’art. 14, comma 3 dello Schema di Convenzione. Il tasso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360" w:lineRule="auto"/>
        <w:ind w:left="1004"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Amministrazione titoli e valori</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tale servizio, l’Istituto corrisponderà al Gestore il compenso annuo indicato in sede di presentazione dell’offerta che sarà ricompreso nell’ambito dell’art. 15 dello Schema di Convenzione.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Criterio selettivo delle offerte</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L’appalto sarà aggiudicato mediante il criterio selettivo dell’offerta economicamente più vantaggiosa ai sensi dell’art. 95 del D.Lgs 50 del 2016.</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graduatoria verrà formata in ragione dei criteri di valutazione di seguito stabiliti:</w:t>
      </w:r>
    </w:p>
    <w:tbl>
      <w:tblPr>
        <w:tblStyle w:val="Table2"/>
        <w:tblW w:w="74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69"/>
        <w:gridCol w:w="2376"/>
        <w:tblGridChange w:id="0">
          <w:tblGrid>
            <w:gridCol w:w="5069"/>
            <w:gridCol w:w="2376"/>
          </w:tblGrid>
        </w:tblGridChange>
      </w:tblGrid>
      <w:tr>
        <w:trPr>
          <w:cantSplit w:val="0"/>
          <w:trHeight w:val="20" w:hRule="atLeast"/>
          <w:tblHeader w:val="0"/>
        </w:trPr>
        <w:tc>
          <w:tcPr>
            <w:shd w:fill="d9d9d9"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 di valutazione</w:t>
            </w:r>
            <w:r w:rsidDel="00000000" w:rsidR="00000000" w:rsidRPr="00000000">
              <w:rPr>
                <w:rtl w:val="0"/>
              </w:rPr>
            </w:r>
          </w:p>
        </w:tc>
        <w:tc>
          <w:tcPr>
            <w:shd w:fill="d9d9d9" w:val="cle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Punteggio massimo</w:t>
            </w:r>
            <w:r w:rsidDel="00000000" w:rsidR="00000000" w:rsidRPr="00000000">
              <w:rPr>
                <w:rtl w:val="0"/>
              </w:rPr>
            </w:r>
          </w:p>
        </w:tc>
      </w:tr>
      <w:tr>
        <w:trPr>
          <w:cantSplit w:val="0"/>
          <w:trHeight w:val="113" w:hRule="atLeast"/>
          <w:tblHeader w:val="0"/>
        </w:trPr>
        <w:tc>
          <w:tcP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Offerta Tecnica (Tabella A)</w:t>
            </w:r>
            <w:r w:rsidDel="00000000" w:rsidR="00000000" w:rsidRPr="00000000">
              <w:rPr>
                <w:rtl w:val="0"/>
              </w:rPr>
            </w:r>
          </w:p>
        </w:tc>
        <w:tc>
          <w:tcP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w:t>
            </w:r>
            <w:r w:rsidDel="00000000" w:rsidR="00000000" w:rsidRPr="00000000">
              <w:rPr>
                <w:rtl w:val="0"/>
              </w:rPr>
            </w:r>
          </w:p>
        </w:tc>
      </w:tr>
      <w:tr>
        <w:trPr>
          <w:cantSplit w:val="0"/>
          <w:trHeight w:val="113" w:hRule="atLeast"/>
          <w:tblHeader w:val="0"/>
        </w:trPr>
        <w:tc>
          <w:tcP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Offerta Economica (Tabella B)</w:t>
            </w:r>
            <w:r w:rsidDel="00000000" w:rsidR="00000000" w:rsidRPr="00000000">
              <w:rPr>
                <w:rtl w:val="0"/>
              </w:rPr>
            </w:r>
          </w:p>
        </w:tc>
        <w:tc>
          <w:tcP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85</w:t>
            </w:r>
            <w:r w:rsidDel="00000000" w:rsidR="00000000" w:rsidRPr="00000000">
              <w:rPr>
                <w:rtl w:val="0"/>
              </w:rPr>
            </w:r>
          </w:p>
        </w:tc>
      </w:tr>
      <w:tr>
        <w:trPr>
          <w:cantSplit w:val="0"/>
          <w:trHeight w:val="113" w:hRule="atLeast"/>
          <w:tblHeader w:val="0"/>
        </w:trPr>
        <w:tc>
          <w:tcPr>
            <w:shd w:fill="d9d9d9" w:val="cle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PUNTEGGIO TOTALE</w:t>
            </w:r>
            <w:r w:rsidDel="00000000" w:rsidR="00000000" w:rsidRPr="00000000">
              <w:rPr>
                <w:rtl w:val="0"/>
              </w:rPr>
            </w:r>
          </w:p>
        </w:tc>
        <w:tc>
          <w:tcPr>
            <w:shd w:fill="d9d9d9" w:val="cle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Attribuzione MERITO TECNICO</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punteggio di merito tecnico verrà attribuito sulla base dei seguenti criteri:</w:t>
      </w:r>
    </w:p>
    <w:tbl>
      <w:tblPr>
        <w:tblStyle w:val="Table3"/>
        <w:tblW w:w="9654.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
        <w:gridCol w:w="7775"/>
        <w:gridCol w:w="1303"/>
        <w:tblGridChange w:id="0">
          <w:tblGrid>
            <w:gridCol w:w="576"/>
            <w:gridCol w:w="7775"/>
            <w:gridCol w:w="1303"/>
          </w:tblGrid>
        </w:tblGridChange>
      </w:tblGrid>
      <w:tr>
        <w:trPr>
          <w:cantSplit w:val="0"/>
          <w:trHeight w:val="959" w:hRule="atLeast"/>
          <w:tblHeader w:val="1"/>
        </w:trPr>
        <w:tc>
          <w:tcPr>
            <w:gridSpan w:val="2"/>
            <w:shd w:fill="d9d9d9"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MERITO TECNICO (Tabella A)</w:t>
            </w:r>
            <w:r w:rsidDel="00000000" w:rsidR="00000000" w:rsidRPr="00000000">
              <w:rPr>
                <w:rtl w:val="0"/>
              </w:rPr>
            </w:r>
          </w:p>
        </w:tc>
        <w:tc>
          <w:tcPr>
            <w:shd w:fill="d9d9d9"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Punteggio massimo</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Servizi aggiuntivi all’utilizzo dello strumento OIL (par. 2)</w:t>
            </w:r>
            <w:r w:rsidDel="00000000" w:rsidR="00000000" w:rsidRPr="00000000">
              <w:rPr>
                <w:rtl w:val="0"/>
              </w:rPr>
            </w:r>
          </w:p>
        </w:tc>
        <w:tc>
          <w:tcP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Servizi aggiuntivi per il miglioramento dei processi e degli strumenti di gestione amministrativa, contabile ed organizzativa dell’Istituto (es: fornitura di assistenza, formazione e strumenti a supporto) (par. 2)</w:t>
            </w:r>
            <w:r w:rsidDel="00000000" w:rsidR="00000000" w:rsidRPr="00000000">
              <w:rPr>
                <w:rtl w:val="0"/>
              </w:rPr>
            </w:r>
          </w:p>
        </w:tc>
        <w:tc>
          <w:tcP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Qualità delle soluzioni organizzative proposte in riferimento ai servizi di consulenza eventualmente richiesti per i servizi di gestione della liquidità (2.4)</w:t>
            </w:r>
            <w:r w:rsidDel="00000000" w:rsidR="00000000" w:rsidRPr="00000000">
              <w:rPr>
                <w:rtl w:val="0"/>
              </w:rPr>
            </w:r>
          </w:p>
        </w:tc>
        <w:tc>
          <w:tcP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Percentuale di trasferimento della dotazione ordinaria per apertura di credito finalizzata alla realizzazione dei progetti formativi (par. 2.6)</w:t>
            </w:r>
            <w:r w:rsidDel="00000000" w:rsidR="00000000" w:rsidRPr="00000000">
              <w:rPr>
                <w:rtl w:val="0"/>
              </w:rPr>
            </w:r>
          </w:p>
        </w:tc>
        <w:tc>
          <w:tcP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w:t>
            </w:r>
            <w:r w:rsidDel="00000000" w:rsidR="00000000" w:rsidRPr="00000000">
              <w:rPr>
                <w:rtl w:val="0"/>
              </w:rPr>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Ulteriori servizi di incasso in aggiunta a quelli già previsti al par. 2.8</w:t>
            </w:r>
            <w:r w:rsidDel="00000000" w:rsidR="00000000" w:rsidRPr="00000000">
              <w:rPr>
                <w:rtl w:val="0"/>
              </w:rPr>
            </w:r>
          </w:p>
        </w:tc>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w:t>
            </w:r>
            <w:r w:rsidDel="00000000" w:rsidR="00000000" w:rsidRPr="00000000">
              <w:rPr>
                <w:rtl w:val="0"/>
              </w:rPr>
            </w:r>
          </w:p>
        </w:tc>
        <w:tc>
          <w:tcP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Presenza di almeno uno sportello nel Comune di Lusiana Conco</w:t>
            </w:r>
            <w:r w:rsidDel="00000000" w:rsidR="00000000" w:rsidRPr="00000000">
              <w:rPr>
                <w:rtl w:val="0"/>
              </w:rPr>
            </w:r>
          </w:p>
        </w:tc>
        <w:tc>
          <w:tcP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r w:rsidDel="00000000" w:rsidR="00000000" w:rsidRPr="00000000">
              <w:rPr>
                <w:rtl w:val="0"/>
              </w:rPr>
            </w:r>
          </w:p>
        </w:tc>
      </w:tr>
      <w:tr>
        <w:trPr>
          <w:cantSplit w:val="0"/>
          <w:tblHeader w:val="0"/>
        </w:trPr>
        <w:tc>
          <w:tcPr>
            <w:gridSpan w:val="2"/>
            <w:shd w:fill="d9d9d9" w:val="cle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PUNTEGGIO TOTALE</w:t>
            </w:r>
            <w:r w:rsidDel="00000000" w:rsidR="00000000" w:rsidRPr="00000000">
              <w:rPr>
                <w:rtl w:val="0"/>
              </w:rPr>
            </w:r>
          </w:p>
        </w:tc>
        <w:tc>
          <w:tcPr>
            <w:shd w:fill="d9d9d9" w:val="clea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w:t>
            </w: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merito tecnico di cui ai Punti 1, 2, 3 e 5 - “PT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sarà attribuito in ragione del giudizio assegnato alle caratteristiche offerte tra quelle di seguito riportate: “ottimo”, “buono”, “discreto”, “sufficiente”, “insufficiente”.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 ogni giudizio corrisponderà l’attribuzione di una differente percentuale di punteggio massimo attribuibile e segnatamente: “ottimo=100%”, “buono=75%”, “discreto=50%”, “sufficiente=25%”, “insufficiente=0%”</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merito tecnico di cui al Punto 4 - “PT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sarà attribuito sulla base della seguente formula:</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Dove: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valore offerto dal concorrente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valore più alto tra quelli offerti dai concorrenti ammessi alla fase di valutazione delle offerte tecniche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punteggio massimo attribuito per il punto in oggetto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precisa che:</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l’offerta uguale o inferiore al 20% (venti) non determinerà l’attribuzione di alcun punteggio di merito tecnico nonché di merito economico in riferimento al punto 12 della Tabella B.</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Attribuzione MERITO ECONOMICO</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punteggio di merito economico verrà attribuito sulla base dei seguenti criteri:</w:t>
      </w:r>
    </w:p>
    <w:tbl>
      <w:tblPr>
        <w:tblStyle w:val="Table4"/>
        <w:tblW w:w="1098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7907"/>
        <w:gridCol w:w="1312"/>
        <w:gridCol w:w="1312"/>
        <w:tblGridChange w:id="0">
          <w:tblGrid>
            <w:gridCol w:w="456"/>
            <w:gridCol w:w="7907"/>
            <w:gridCol w:w="1312"/>
            <w:gridCol w:w="1312"/>
          </w:tblGrid>
        </w:tblGridChange>
      </w:tblGrid>
      <w:tr>
        <w:trPr>
          <w:cantSplit w:val="0"/>
          <w:trHeight w:val="639" w:hRule="atLeast"/>
          <w:tblHeader w:val="1"/>
        </w:trPr>
        <w:tc>
          <w:tcPr>
            <w:gridSpan w:val="2"/>
            <w:shd w:fill="d9d9d9"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MERITO ECONOMICO (Tabella B)</w:t>
            </w:r>
            <w:r w:rsidDel="00000000" w:rsidR="00000000" w:rsidRPr="00000000">
              <w:rPr>
                <w:rtl w:val="0"/>
              </w:rPr>
            </w:r>
          </w:p>
        </w:tc>
        <w:tc>
          <w:tcPr>
            <w:shd w:fill="d9d9d9"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Punteggio parziale</w:t>
            </w:r>
            <w:r w:rsidDel="00000000" w:rsidR="00000000" w:rsidRPr="00000000">
              <w:rPr>
                <w:rtl w:val="0"/>
              </w:rPr>
            </w:r>
          </w:p>
        </w:tc>
        <w:tc>
          <w:tcPr>
            <w:shd w:fill="d9d9d9"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Punteggio massimo</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2"/>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Compenso e spese annue di gestione e tenuta conto (par. 2)</w:t>
            </w:r>
            <w:r w:rsidDel="00000000" w:rsidR="00000000" w:rsidRPr="00000000">
              <w:rPr>
                <w:rtl w:val="0"/>
              </w:rPr>
            </w:r>
          </w:p>
        </w:tc>
        <w:tc>
          <w:tcP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30</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2"/>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Compenso e spese annue per attivazione e gestione servizi di remote banking (par. 2)</w:t>
            </w:r>
            <w:r w:rsidDel="00000000" w:rsidR="00000000" w:rsidRPr="00000000">
              <w:rPr>
                <w:rtl w:val="0"/>
              </w:rPr>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w:t>
            </w:r>
            <w:r w:rsidDel="00000000" w:rsidR="00000000" w:rsidRPr="00000000">
              <w:rPr>
                <w:rtl w:val="0"/>
              </w:rPr>
            </w:r>
          </w:p>
        </w:tc>
        <w:tc>
          <w:tcPr>
            <w:gridSpan w:val="2"/>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Valute su incassi (par. 2.1) – entro il secondo giorno lavorativo successivo all’invio del messaggio di presa in carico</w:t>
            </w:r>
            <w:r w:rsidDel="00000000" w:rsidR="00000000" w:rsidRPr="00000000">
              <w:rPr>
                <w:rtl w:val="0"/>
              </w:rPr>
            </w:r>
          </w:p>
        </w:tc>
        <w:tc>
          <w:tcPr>
            <w:vAlign w:val="cente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prevista il giorno stesso</w:t>
            </w:r>
          </w:p>
        </w:tc>
        <w:tc>
          <w:tcPr>
            <w:vAlign w:val="cente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prevista dopo un giorno</w:t>
            </w:r>
          </w:p>
        </w:tc>
        <w:tc>
          <w:tcP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prevista dopo due giorni</w:t>
            </w:r>
          </w:p>
        </w:tc>
        <w:tc>
          <w:tcPr>
            <w:vAlign w:val="cente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w:t>
            </w:r>
            <w:r w:rsidDel="00000000" w:rsidR="00000000" w:rsidRPr="00000000">
              <w:rPr>
                <w:rtl w:val="0"/>
              </w:rPr>
            </w:r>
          </w:p>
        </w:tc>
        <w:tc>
          <w:tcPr>
            <w:vAlign w:val="cente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w:t>
            </w:r>
            <w:r w:rsidDel="00000000" w:rsidR="00000000" w:rsidRPr="00000000">
              <w:rPr>
                <w:rtl w:val="0"/>
              </w:rPr>
            </w:r>
          </w:p>
        </w:tc>
        <w:tc>
          <w:tcPr>
            <w:gridSpan w:val="2"/>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Termine di ammissibilità pagamento dei mandati (par. 2.2) - entro e non oltre il secondo giorno lavorativo o lavorativo bancabile successivo a quello dell’invio del messaggio di presa in carico</w:t>
            </w:r>
            <w:r w:rsidDel="00000000" w:rsidR="00000000" w:rsidRPr="00000000">
              <w:rPr>
                <w:rtl w:val="0"/>
              </w:rPr>
            </w:r>
          </w:p>
        </w:tc>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prevista il giorno stesso</w:t>
            </w:r>
          </w:p>
        </w:tc>
        <w:tc>
          <w:tcP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4</w:t>
            </w:r>
            <w:r w:rsidDel="00000000" w:rsidR="00000000" w:rsidRPr="00000000">
              <w:rPr>
                <w:rtl w:val="0"/>
              </w:rPr>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prevista dopo un giorno</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prevista dopo due giorni</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w:t>
            </w:r>
            <w:r w:rsidDel="00000000" w:rsidR="00000000" w:rsidRPr="00000000">
              <w:rPr>
                <w:rtl w:val="0"/>
              </w:rPr>
            </w:r>
          </w:p>
        </w:tc>
        <w:tc>
          <w:tcP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5</w:t>
            </w:r>
            <w:r w:rsidDel="00000000" w:rsidR="00000000" w:rsidRPr="00000000">
              <w:rPr>
                <w:rtl w:val="0"/>
              </w:rPr>
            </w:r>
          </w:p>
        </w:tc>
        <w:tc>
          <w:tcPr>
            <w:gridSpan w:val="2"/>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Commissioni a carico dell’Istituto per singola operazione di pagamento ordinato dall’Istituto medesimo mediante bonifico, esclusi bonifici stipendi e rimborsi spese a favore dei dipendenti (par. 2.2)</w:t>
            </w:r>
            <w:r w:rsidDel="00000000" w:rsidR="00000000" w:rsidRPr="00000000">
              <w:rPr>
                <w:rtl w:val="0"/>
              </w:rPr>
            </w:r>
          </w:p>
        </w:tc>
        <w:tc>
          <w:tcPr>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w:t>
            </w:r>
            <w:r w:rsidDel="00000000" w:rsidR="00000000" w:rsidRPr="00000000">
              <w:rPr>
                <w:rtl w:val="0"/>
              </w:rPr>
            </w:r>
          </w:p>
        </w:tc>
        <w:tc>
          <w:tcPr>
            <w:gridSpan w:val="2"/>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Commissioni a carico dell’Istituto per singola operazione di pagamento ordinato dall’Istituto medesimo, mediante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del caso inserire eventuale altro strumento di pagamento]</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esclusi i pagamenti stipendi e i rimborsi spese a favore dei dipendenti (par. 2.2)</w:t>
            </w:r>
            <w:r w:rsidDel="00000000" w:rsidR="00000000" w:rsidRPr="00000000">
              <w:rPr>
                <w:rtl w:val="0"/>
              </w:rPr>
            </w:r>
          </w:p>
        </w:tc>
        <w:tc>
          <w:tcP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7</w:t>
            </w:r>
            <w:r w:rsidDel="00000000" w:rsidR="00000000" w:rsidRPr="00000000">
              <w:rPr>
                <w:rtl w:val="0"/>
              </w:rPr>
            </w:r>
          </w:p>
        </w:tc>
        <w:tc>
          <w:tcPr>
            <w:gridSpan w:val="2"/>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Spese annue per attivazione e gestione carta di credito (par. 2.3)</w:t>
            </w:r>
            <w:r w:rsidDel="00000000" w:rsidR="00000000" w:rsidRPr="00000000">
              <w:rPr>
                <w:rtl w:val="0"/>
              </w:rPr>
            </w:r>
          </w:p>
        </w:tc>
        <w:tc>
          <w:tcPr>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8</w:t>
            </w:r>
            <w:r w:rsidDel="00000000" w:rsidR="00000000" w:rsidRPr="00000000">
              <w:rPr>
                <w:rtl w:val="0"/>
              </w:rPr>
            </w:r>
          </w:p>
        </w:tc>
        <w:tc>
          <w:tcPr>
            <w:gridSpan w:val="2"/>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Oneri di ricarica delle carte prepagate emesse dal Gestore (par. 2.3)</w:t>
            </w:r>
            <w:r w:rsidDel="00000000" w:rsidR="00000000" w:rsidRPr="00000000">
              <w:rPr>
                <w:rtl w:val="0"/>
              </w:rPr>
            </w:r>
          </w:p>
        </w:tc>
        <w:tc>
          <w:tcP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9</w:t>
            </w:r>
            <w:r w:rsidDel="00000000" w:rsidR="00000000" w:rsidRPr="00000000">
              <w:rPr>
                <w:rtl w:val="0"/>
              </w:rPr>
            </w:r>
          </w:p>
        </w:tc>
        <w:tc>
          <w:tcPr>
            <w:gridSpan w:val="2"/>
            <w:vAlign w:val="cente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Oneri di ricarica delle carte prepagate tramite circuito interbancario (par. 2.3)</w:t>
            </w:r>
            <w:r w:rsidDel="00000000" w:rsidR="00000000" w:rsidRPr="00000000">
              <w:rPr>
                <w:rtl w:val="0"/>
              </w:rPr>
            </w:r>
          </w:p>
        </w:tc>
        <w:tc>
          <w:tcPr>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2"/>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Tasso annuo d’interesse passivo su anticipazioni di cassa (par. 2.4)</w:t>
            </w:r>
            <w:r w:rsidDel="00000000" w:rsidR="00000000" w:rsidRPr="00000000">
              <w:rPr>
                <w:rtl w:val="0"/>
              </w:rPr>
            </w:r>
          </w:p>
        </w:tc>
        <w:tc>
          <w:tcPr>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w:t>
            </w:r>
            <w:r w:rsidDel="00000000" w:rsidR="00000000" w:rsidRPr="00000000">
              <w:rPr>
                <w:rtl w:val="0"/>
              </w:rPr>
            </w:r>
          </w:p>
        </w:tc>
      </w:tr>
      <w:tr>
        <w:trPr>
          <w:cantSplit w:val="0"/>
          <w:trHeight w:val="637" w:hRule="atLeast"/>
          <w:tblHeader w:val="0"/>
        </w:trPr>
        <w:tc>
          <w:tcPr>
            <w:vAlign w:val="cente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11</w:t>
            </w:r>
            <w:r w:rsidDel="00000000" w:rsidR="00000000" w:rsidRPr="00000000">
              <w:rPr>
                <w:rtl w:val="0"/>
              </w:rPr>
            </w:r>
          </w:p>
        </w:tc>
        <w:tc>
          <w:tcPr>
            <w:gridSpan w:val="2"/>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Tasso annuo d’interesse passivo su aperture di credito (par. 2.5)</w:t>
            </w:r>
            <w:r w:rsidDel="00000000" w:rsidR="00000000" w:rsidRPr="00000000">
              <w:rPr>
                <w:rtl w:val="0"/>
              </w:rPr>
            </w:r>
          </w:p>
        </w:tc>
        <w:tc>
          <w:tcPr>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12</w:t>
            </w:r>
            <w:r w:rsidDel="00000000" w:rsidR="00000000" w:rsidRPr="00000000">
              <w:rPr>
                <w:rtl w:val="0"/>
              </w:rPr>
            </w:r>
          </w:p>
        </w:tc>
        <w:tc>
          <w:tcPr>
            <w:gridSpan w:val="2"/>
            <w:vAlign w:val="cente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Remunerazione forfettaria annua per custodia e amministrazione di titoli e valori (par. 2.6)</w:t>
            </w:r>
            <w:r w:rsidDel="00000000" w:rsidR="00000000" w:rsidRPr="00000000">
              <w:rPr>
                <w:rtl w:val="0"/>
              </w:rPr>
            </w:r>
          </w:p>
        </w:tc>
        <w:tc>
          <w:tcPr>
            <w:vAlign w:val="cente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0"/>
          <w:tblHeader w:val="0"/>
        </w:trPr>
        <w:tc>
          <w:tcPr>
            <w:gridSpan w:val="3"/>
            <w:shd w:fill="d9d9d9" w:val="clear"/>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PUNTEGGIO TOTALE</w:t>
            </w:r>
            <w:r w:rsidDel="00000000" w:rsidR="00000000" w:rsidRPr="00000000">
              <w:rPr>
                <w:rtl w:val="0"/>
              </w:rPr>
            </w:r>
          </w:p>
        </w:tc>
        <w:tc>
          <w:tcPr>
            <w:shd w:fill="d9d9d9" w:val="clea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85</w:t>
            </w:r>
            <w:r w:rsidDel="00000000" w:rsidR="00000000" w:rsidRPr="00000000">
              <w:rPr>
                <w:rtl w:val="0"/>
              </w:rPr>
            </w:r>
          </w:p>
        </w:tc>
      </w:tr>
    </w:tbl>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merito economico di cui ai Punti 1, 2, 5, 6, 7, 8, 9, 12, -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sarà attribuito sulla base della seguente formula:</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 1, 2, 5 , 6, 7, 8, 9, 12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Dove: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valore offerto dal concorrente i.esimo</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valore più alto tra quelli offerti dai concorrenti ammessi alla fase di valutazione delle offerte economiche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valore più basso tra quelli offerti dai concorrenti ammessi alla fase di valutazione delle offerte economiche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punteggio massimo attribuito per il punto in oggetto</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merito economico di cui ai Punti 10 e 11 –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sarà attribuito sulla base della seguente formula: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10, 11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Dove: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tasso offerto dal concorrente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i.esimo</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max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tasso più alto tra quelli offerti dai concorrenti ammessi alla fase di valutazione delle offerte economiche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min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tasso più basso tra quelli offerti dai concorrenti ammessi alla fase di valutazione delle offerte economiche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precisa che tale punteggio sarà attribuito in funzione del valore complessivo dato dal tasso EURIBOR 365 a 1 mese, la cui liquidazione ha luogo con cadenza trimestrale ed i punti percentuali in aumento/diminuzione offerti dal Gestore.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i punti 1, 2, 5, 6, 7, 8, 9, 12 in caso di servizio offerto al valore pari a € 0,00 (zero) sarà attribuito il punteggio massimo sopra indicato.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Punteggio Totale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PTOT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attribuito a ciascuna offerta sarà uguale a PTi + PEi, dove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PTi = somma dei punteggi di merito tecnico dell’Offerta i.esima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PEi = somma dei punteggi di merito economico dell’Offerta i.esima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particolare:</w:t>
      </w:r>
    </w:p>
    <w:p w:rsidR="00000000" w:rsidDel="00000000" w:rsidP="00000000" w:rsidRDefault="00000000" w:rsidRPr="00000000" w14:paraId="000001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punteggio di merito tecnico PTi sarà calcolato sommando i punteggi conseguiti per ciascun criterio di valutazione sopra indicato (tabella A).</w:t>
      </w:r>
    </w:p>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punteggio di merito economico PEi, verrà attribuito sommando i punteggi conseguiti per ciascun criterio di valutazione sopra indicato (tabella B).</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precisa che i valori offerti dovranno essere espressi con un numero di cifre decimali non superiore a 2 (due). In caso di valori espressi con cifre decimali maggiori di due l’Istituto procederà a troncare gli stessi alla seconda cifra decimale.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precisa altresì che sarà insindacabile diritto dell’Istituto quello di procedere all’aggiudicazione anche nel caso di una sola offerta valida, nonché quello di non procedervi affatto, qualora nessuna offerta risultasse conveniente o idonea in relazione all’oggetto del presente Capitolato Tecnico.</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Procedura per l’affidamento della gestione del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Servizio di cassa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40" w:hanging="340"/>
      </w:pPr>
      <w:rPr>
        <w:rFonts w:ascii="Noto Sans Symbols" w:cs="Noto Sans Symbols" w:eastAsia="Noto Sans Symbols" w:hAnsi="Noto Sans Symbols"/>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2"/>
      <w:numFmt w:val="decimal"/>
      <w:lvlText w:val="%1"/>
      <w:lvlJc w:val="left"/>
      <w:pPr>
        <w:ind w:left="360" w:hanging="360"/>
      </w:pPr>
      <w:rPr>
        <w:b w:val="1"/>
        <w:vertAlign w:val="baseline"/>
      </w:rPr>
    </w:lvl>
    <w:lvl w:ilvl="1">
      <w:start w:val="1"/>
      <w:numFmt w:val="decimal"/>
      <w:lvlText w:val="%1.%2"/>
      <w:lvlJc w:val="left"/>
      <w:pPr>
        <w:ind w:left="1004" w:hanging="720"/>
      </w:pPr>
      <w:rPr>
        <w:b w:val="1"/>
        <w:vertAlign w:val="baseline"/>
      </w:rPr>
    </w:lvl>
    <w:lvl w:ilvl="2">
      <w:start w:val="1"/>
      <w:numFmt w:val="decimal"/>
      <w:lvlText w:val="%1.%2.%3"/>
      <w:lvlJc w:val="left"/>
      <w:pPr>
        <w:ind w:left="1288" w:hanging="719.9999999999999"/>
      </w:pPr>
      <w:rPr>
        <w:b w:val="1"/>
        <w:vertAlign w:val="baseline"/>
      </w:rPr>
    </w:lvl>
    <w:lvl w:ilvl="3">
      <w:start w:val="1"/>
      <w:numFmt w:val="decimal"/>
      <w:lvlText w:val="%1.%2.%3.%4"/>
      <w:lvlJc w:val="left"/>
      <w:pPr>
        <w:ind w:left="1932" w:hanging="1080"/>
      </w:pPr>
      <w:rPr>
        <w:b w:val="1"/>
        <w:vertAlign w:val="baseline"/>
      </w:rPr>
    </w:lvl>
    <w:lvl w:ilvl="4">
      <w:start w:val="1"/>
      <w:numFmt w:val="decimal"/>
      <w:lvlText w:val="%1.%2.%3.%4.%5"/>
      <w:lvlJc w:val="left"/>
      <w:pPr>
        <w:ind w:left="2576" w:hanging="1439.9999999999998"/>
      </w:pPr>
      <w:rPr>
        <w:b w:val="1"/>
        <w:vertAlign w:val="baseline"/>
      </w:rPr>
    </w:lvl>
    <w:lvl w:ilvl="5">
      <w:start w:val="1"/>
      <w:numFmt w:val="decimal"/>
      <w:lvlText w:val="%1.%2.%3.%4.%5.%6"/>
      <w:lvlJc w:val="left"/>
      <w:pPr>
        <w:ind w:left="2860" w:hanging="1440"/>
      </w:pPr>
      <w:rPr>
        <w:b w:val="1"/>
        <w:vertAlign w:val="baseline"/>
      </w:rPr>
    </w:lvl>
    <w:lvl w:ilvl="6">
      <w:start w:val="1"/>
      <w:numFmt w:val="decimal"/>
      <w:lvlText w:val="%1.%2.%3.%4.%5.%6.%7"/>
      <w:lvlJc w:val="left"/>
      <w:pPr>
        <w:ind w:left="3504" w:hanging="1800.0000000000002"/>
      </w:pPr>
      <w:rPr>
        <w:b w:val="1"/>
        <w:vertAlign w:val="baseline"/>
      </w:rPr>
    </w:lvl>
    <w:lvl w:ilvl="7">
      <w:start w:val="1"/>
      <w:numFmt w:val="decimal"/>
      <w:lvlText w:val="%1.%2.%3.%4.%5.%6.%7.%8"/>
      <w:lvlJc w:val="left"/>
      <w:pPr>
        <w:ind w:left="4148" w:hanging="2160"/>
      </w:pPr>
      <w:rPr>
        <w:b w:val="1"/>
        <w:vertAlign w:val="baseline"/>
      </w:rPr>
    </w:lvl>
    <w:lvl w:ilvl="8">
      <w:start w:val="1"/>
      <w:numFmt w:val="decimal"/>
      <w:lvlText w:val="%1.%2.%3.%4.%5.%6.%7.%8.%9"/>
      <w:lvlJc w:val="left"/>
      <w:pPr>
        <w:ind w:left="4432" w:hanging="2160"/>
      </w:pPr>
      <w:rPr>
        <w:b w:val="1"/>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decimal"/>
      <w:lvlText w:val="%1.%2"/>
      <w:lvlJc w:val="left"/>
      <w:pPr>
        <w:ind w:left="1080" w:hanging="720"/>
      </w:pPr>
      <w:rPr>
        <w:b w:val="1"/>
        <w:vertAlign w:val="baseline"/>
      </w:rPr>
    </w:lvl>
    <w:lvl w:ilvl="2">
      <w:start w:val="1"/>
      <w:numFmt w:val="decimal"/>
      <w:lvlText w:val="%1.%2.%3"/>
      <w:lvlJc w:val="left"/>
      <w:pPr>
        <w:ind w:left="1080" w:hanging="720"/>
      </w:pPr>
      <w:rPr>
        <w:b w:val="1"/>
        <w:vertAlign w:val="baseline"/>
      </w:rPr>
    </w:lvl>
    <w:lvl w:ilvl="3">
      <w:start w:val="1"/>
      <w:numFmt w:val="decimal"/>
      <w:lvlText w:val="%1.%2.%3.%4"/>
      <w:lvlJc w:val="left"/>
      <w:pPr>
        <w:ind w:left="1440" w:hanging="1080"/>
      </w:pPr>
      <w:rPr>
        <w:b w:val="1"/>
        <w:vertAlign w:val="baseline"/>
      </w:rPr>
    </w:lvl>
    <w:lvl w:ilvl="4">
      <w:start w:val="1"/>
      <w:numFmt w:val="decimal"/>
      <w:lvlText w:val="%1.%2.%3.%4.%5"/>
      <w:lvlJc w:val="left"/>
      <w:pPr>
        <w:ind w:left="1800" w:hanging="1440"/>
      </w:pPr>
      <w:rPr>
        <w:b w:val="1"/>
        <w:vertAlign w:val="baseline"/>
      </w:rPr>
    </w:lvl>
    <w:lvl w:ilvl="5">
      <w:start w:val="1"/>
      <w:numFmt w:val="decimal"/>
      <w:lvlText w:val="%1.%2.%3.%4.%5.%6"/>
      <w:lvlJc w:val="left"/>
      <w:pPr>
        <w:ind w:left="1800" w:hanging="1440"/>
      </w:pPr>
      <w:rPr>
        <w:b w:val="1"/>
        <w:vertAlign w:val="baseline"/>
      </w:rPr>
    </w:lvl>
    <w:lvl w:ilvl="6">
      <w:start w:val="1"/>
      <w:numFmt w:val="decimal"/>
      <w:lvlText w:val="%1.%2.%3.%4.%5.%6.%7"/>
      <w:lvlJc w:val="left"/>
      <w:pPr>
        <w:ind w:left="2160" w:hanging="1800"/>
      </w:pPr>
      <w:rPr>
        <w:b w:val="1"/>
        <w:vertAlign w:val="baseline"/>
      </w:rPr>
    </w:lvl>
    <w:lvl w:ilvl="7">
      <w:start w:val="1"/>
      <w:numFmt w:val="decimal"/>
      <w:lvlText w:val="%1.%2.%3.%4.%5.%6.%7.%8"/>
      <w:lvlJc w:val="left"/>
      <w:pPr>
        <w:ind w:left="2520" w:hanging="2160"/>
      </w:pPr>
      <w:rPr>
        <w:b w:val="1"/>
        <w:vertAlign w:val="baseline"/>
      </w:rPr>
    </w:lvl>
    <w:lvl w:ilvl="8">
      <w:start w:val="1"/>
      <w:numFmt w:val="decimal"/>
      <w:lvlText w:val="%1.%2.%3.%4.%5.%6.%7.%8.%9"/>
      <w:lvlJc w:val="left"/>
      <w:pPr>
        <w:ind w:left="2520" w:hanging="2160"/>
      </w:pPr>
      <w:rPr>
        <w:b w:val="1"/>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Paragrafoelenco">
    <w:name w:val="Paragrafo elenco"/>
    <w:basedOn w:val="Normale"/>
    <w:next w:val="Paragrafoelenco"/>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it-IT" w:val="it-IT"/>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Intestazione"/>
    <w:basedOn w:val="Normale"/>
    <w:next w:val="Intestazione"/>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IntestazioneCarattere">
    <w:name w:val="Intestazione Carattere"/>
    <w:next w:val="IntestazioneCarattere"/>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PièdipaginaCarattere">
    <w:name w:val="Piè di pagina Carattere"/>
    <w:next w:val="PièdipaginaCarattere"/>
    <w:autoRedefine w:val="0"/>
    <w:hidden w:val="0"/>
    <w:qFormat w:val="0"/>
    <w:rPr>
      <w:w w:val="100"/>
      <w:position w:val="-1"/>
      <w:effect w:val="none"/>
      <w:vertAlign w:val="baseline"/>
      <w:cs w:val="0"/>
      <w:em w:val="none"/>
      <w:lang/>
    </w:rPr>
  </w:style>
  <w:style w:type="paragraph" w:styleId="Testofumetto">
    <w:name w:val="Testo fumetto"/>
    <w:basedOn w:val="Normale"/>
    <w:next w:val="Testofumetto"/>
    <w:autoRedefine w:val="0"/>
    <w:hidden w:val="0"/>
    <w:qFormat w:val="0"/>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rPr>
  </w:style>
  <w:style w:type="paragraph" w:styleId="Rientrocorpodeltesto">
    <w:name w:val="Rientro corpo del testo"/>
    <w:basedOn w:val="Normale"/>
    <w:next w:val="Rientrocorpodeltesto"/>
    <w:autoRedefine w:val="0"/>
    <w:hidden w:val="0"/>
    <w:qFormat w:val="0"/>
    <w:pPr>
      <w:suppressAutoHyphens w:val="1"/>
      <w:spacing w:after="120" w:line="240" w:lineRule="auto"/>
      <w:ind w:left="283" w:leftChars="-1" w:rightChars="0" w:firstLineChars="-1"/>
      <w:textDirection w:val="btLr"/>
      <w:textAlignment w:val="top"/>
      <w:outlineLvl w:val="0"/>
    </w:pPr>
    <w:rPr>
      <w:rFonts w:ascii="Times New Roman" w:hAnsi="Times New Roman"/>
      <w:w w:val="100"/>
      <w:position w:val="-1"/>
      <w:sz w:val="24"/>
      <w:szCs w:val="20"/>
      <w:effect w:val="none"/>
      <w:vertAlign w:val="baseline"/>
      <w:cs w:val="0"/>
      <w:em w:val="none"/>
      <w:lang w:bidi="ar-SA" w:eastAsia="en-US" w:val="en-US"/>
    </w:rPr>
  </w:style>
  <w:style w:type="character" w:styleId="RientrocorpodeltestoCarattere">
    <w:name w:val="Rientro corpo del testo Carattere"/>
    <w:next w:val="RientrocorpodeltestoCarattere"/>
    <w:autoRedefine w:val="0"/>
    <w:hidden w:val="0"/>
    <w:qFormat w:val="0"/>
    <w:rPr>
      <w:rFonts w:ascii="Times New Roman" w:hAnsi="Times New Roman"/>
      <w:w w:val="100"/>
      <w:position w:val="-1"/>
      <w:sz w:val="24"/>
      <w:effect w:val="none"/>
      <w:vertAlign w:val="baseline"/>
      <w:cs w:val="0"/>
      <w:em w:val="none"/>
      <w:lang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M7x5PF/ZvQJr+aFUeBqa73oaKw==">AMUW2mWP/f9sS3ENKd/w57yJ6HbUaijSCmPnRFYo3npxkGsMrN6/vc1Rz/xBn0unIU7ZzELtr5FlaIM3xK5602bdSLjVSQlWbt+9welDuv5WoxP7SIAj6o4=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2021-10-25T09:14:00Z</dcterms:created>
  <dc:creator/>
</cp:coreProperties>
</file>