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C5" w:rsidRDefault="001C2CC5" w:rsidP="001C2CC5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:rsidR="001C2CC5" w:rsidRPr="007B344C" w:rsidRDefault="001C2CC5" w:rsidP="001C2CC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</w:rPr>
      </w:pPr>
    </w:p>
    <w:p w:rsidR="001C2CC5" w:rsidRPr="007B344C" w:rsidRDefault="001C2CC5" w:rsidP="001C2CC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8"/>
          <w:szCs w:val="28"/>
        </w:rPr>
      </w:pPr>
      <w:r w:rsidRPr="007B344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1C2CC5" w:rsidRDefault="001C2CC5" w:rsidP="001C2CC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Calibri" w:hAnsi="Calibri" w:cs="Calibri"/>
          <w:b/>
          <w:sz w:val="24"/>
          <w:szCs w:val="24"/>
        </w:rPr>
      </w:pPr>
      <w:r w:rsidRPr="0051457B">
        <w:rPr>
          <w:rFonts w:ascii="Calibri" w:hAnsi="Calibri" w:cs="Calibri"/>
          <w:b/>
          <w:sz w:val="24"/>
          <w:szCs w:val="24"/>
        </w:rPr>
        <w:t xml:space="preserve">Avviso di selezione per il reclutamento di personale interno per il reperimento di n. </w:t>
      </w:r>
      <w:r>
        <w:rPr>
          <w:rFonts w:ascii="Calibri" w:hAnsi="Calibri" w:cs="Calibri"/>
          <w:b/>
          <w:sz w:val="24"/>
          <w:szCs w:val="24"/>
        </w:rPr>
        <w:t xml:space="preserve">1 </w:t>
      </w:r>
      <w:r w:rsidRPr="0051457B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collaboratore scolastico per </w:t>
      </w:r>
      <w:proofErr w:type="spellStart"/>
      <w:r>
        <w:rPr>
          <w:rFonts w:ascii="Calibri" w:hAnsi="Calibri" w:cs="Calibri"/>
          <w:b/>
          <w:sz w:val="24"/>
          <w:szCs w:val="24"/>
        </w:rPr>
        <w:t>l’</w:t>
      </w:r>
      <w:r w:rsidRPr="0051457B">
        <w:rPr>
          <w:rFonts w:ascii="Calibri" w:hAnsi="Calibri" w:cs="Calibri"/>
          <w:b/>
          <w:sz w:val="24"/>
          <w:szCs w:val="24"/>
        </w:rPr>
        <w:t>a.s.</w:t>
      </w:r>
      <w:proofErr w:type="spellEnd"/>
      <w:r w:rsidRPr="0051457B">
        <w:rPr>
          <w:rFonts w:ascii="Calibri" w:hAnsi="Calibri" w:cs="Calibri"/>
          <w:b/>
          <w:sz w:val="24"/>
          <w:szCs w:val="24"/>
        </w:rPr>
        <w:t xml:space="preserve"> 2023/2024 per attività di supporto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FA4F19">
        <w:rPr>
          <w:rFonts w:ascii="Calibri" w:hAnsi="Calibri" w:cs="Calibri"/>
          <w:b/>
          <w:sz w:val="24"/>
          <w:szCs w:val="24"/>
        </w:rPr>
        <w:t>alla realizzazione di n. 1 edizione relativa ai percorsi formativi e laboratoriali co-curricolari</w:t>
      </w:r>
      <w:r w:rsidRPr="0051457B">
        <w:rPr>
          <w:rFonts w:ascii="Calibri" w:hAnsi="Calibri" w:cs="Calibri"/>
          <w:b/>
          <w:sz w:val="24"/>
          <w:szCs w:val="24"/>
        </w:rPr>
        <w:t xml:space="preserve"> in attuazione della linea di investimento </w:t>
      </w:r>
      <w:r>
        <w:rPr>
          <w:rFonts w:ascii="Calibri" w:hAnsi="Calibri" w:cs="Calibri"/>
          <w:b/>
          <w:sz w:val="24"/>
          <w:szCs w:val="24"/>
        </w:rPr>
        <w:t>1.4</w:t>
      </w:r>
      <w:r w:rsidRPr="0051457B">
        <w:rPr>
          <w:rFonts w:ascii="Calibri" w:hAnsi="Calibri" w:cs="Calibri"/>
          <w:b/>
          <w:sz w:val="24"/>
          <w:szCs w:val="24"/>
        </w:rPr>
        <w:t xml:space="preserve"> </w:t>
      </w:r>
      <w:r w:rsidRPr="00E47372">
        <w:rPr>
          <w:rFonts w:ascii="Calibri" w:hAnsi="Calibri" w:cs="Calibri"/>
          <w:b/>
          <w:sz w:val="24"/>
          <w:szCs w:val="24"/>
        </w:rPr>
        <w:t xml:space="preserve">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</w:t>
      </w:r>
      <w:proofErr w:type="spellStart"/>
      <w:r w:rsidRPr="00E47372">
        <w:rPr>
          <w:rFonts w:ascii="Calibri" w:hAnsi="Calibri" w:cs="Calibri"/>
          <w:b/>
          <w:sz w:val="24"/>
          <w:szCs w:val="24"/>
        </w:rPr>
        <w:t>Next</w:t>
      </w:r>
      <w:proofErr w:type="spellEnd"/>
      <w:r w:rsidRPr="00E47372">
        <w:rPr>
          <w:rFonts w:ascii="Calibri" w:hAnsi="Calibri" w:cs="Calibri"/>
          <w:b/>
          <w:sz w:val="24"/>
          <w:szCs w:val="24"/>
        </w:rPr>
        <w:t xml:space="preserve"> Generation EU</w:t>
      </w:r>
    </w:p>
    <w:p w:rsidR="001C2CC5" w:rsidRPr="00E47372" w:rsidRDefault="001C2CC5" w:rsidP="001C2CC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Cs/>
          <w:sz w:val="24"/>
          <w:szCs w:val="24"/>
          <w:highlight w:val="yellow"/>
          <w:lang w:eastAsia="en-US"/>
        </w:rPr>
      </w:pPr>
      <w:r w:rsidRPr="00E47372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Codice Progetto: M4C1I1.4-2022-981-P-20850</w:t>
      </w:r>
    </w:p>
    <w:p w:rsidR="001C2CC5" w:rsidRDefault="001C2CC5" w:rsidP="001C2CC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r w:rsidRPr="00E47372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CUP: D94D22004870006</w:t>
      </w:r>
    </w:p>
    <w:p w:rsidR="001C2CC5" w:rsidRPr="00E47372" w:rsidRDefault="001C2CC5" w:rsidP="001C2CC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Titolo: NON PERDIAMOCI DI VISTA</w:t>
      </w:r>
    </w:p>
    <w:p w:rsidR="001C2CC5" w:rsidRDefault="001C2CC5" w:rsidP="001C2CC5">
      <w:pPr>
        <w:pStyle w:val="Corpotesto"/>
        <w:spacing w:before="91" w:line="256" w:lineRule="auto"/>
        <w:ind w:left="142" w:right="1170"/>
        <w:rPr>
          <w:rFonts w:ascii="Nirmala UI" w:hAnsi="Nirmala UI" w:cs="Nirmala UI"/>
          <w:sz w:val="24"/>
          <w:szCs w:val="24"/>
        </w:rPr>
      </w:pPr>
    </w:p>
    <w:p w:rsidR="001C2CC5" w:rsidRPr="001E35BD" w:rsidRDefault="001C2CC5" w:rsidP="001C2CC5">
      <w:pPr>
        <w:pStyle w:val="Corpotesto"/>
        <w:spacing w:before="91" w:line="256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</w:t>
      </w:r>
      <w:r>
        <w:rPr>
          <w:rFonts w:ascii="Nirmala UI" w:hAnsi="Nirmala UI" w:cs="Nirmala UI"/>
          <w:b/>
          <w:sz w:val="24"/>
          <w:szCs w:val="24"/>
        </w:rPr>
        <w:t>la</w:t>
      </w:r>
      <w:r w:rsidRPr="001E35BD">
        <w:rPr>
          <w:rFonts w:ascii="Nirmala UI" w:hAnsi="Nirmala UI" w:cs="Nirmala UI"/>
          <w:b/>
          <w:sz w:val="24"/>
          <w:szCs w:val="24"/>
        </w:rPr>
        <w:t xml:space="preserve"> Dirigente Scolastic</w:t>
      </w:r>
      <w:r>
        <w:rPr>
          <w:rFonts w:ascii="Nirmala UI" w:hAnsi="Nirmala UI" w:cs="Nirmala UI"/>
          <w:b/>
          <w:sz w:val="24"/>
          <w:szCs w:val="24"/>
        </w:rPr>
        <w:t>a</w:t>
      </w:r>
    </w:p>
    <w:p w:rsidR="001C2CC5" w:rsidRPr="001E35BD" w:rsidRDefault="001C2CC5" w:rsidP="001C2CC5">
      <w:pPr>
        <w:pStyle w:val="Corpotesto"/>
        <w:spacing w:before="91" w:line="256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:rsidR="001C2CC5" w:rsidRDefault="001C2CC5" w:rsidP="001C2CC5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bCs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Domanda di partecipazione alla selezione quale </w:t>
      </w:r>
      <w:r>
        <w:rPr>
          <w:rFonts w:ascii="Nirmala UI" w:hAnsi="Nirmala UI" w:cs="Nirmala UI"/>
          <w:sz w:val="24"/>
          <w:szCs w:val="24"/>
        </w:rPr>
        <w:t xml:space="preserve">personale di supporto </w:t>
      </w:r>
      <w:r w:rsidRPr="00FA4F19">
        <w:rPr>
          <w:rFonts w:ascii="Nirmala UI" w:hAnsi="Nirmala UI" w:cs="Nirmala UI"/>
          <w:sz w:val="24"/>
          <w:szCs w:val="24"/>
        </w:rPr>
        <w:t xml:space="preserve">alla realizzazione di n. 1 edizione relativa ai percorsi formativi e laboratoriali co-curricolari </w:t>
      </w:r>
      <w:r w:rsidRPr="00D97A98">
        <w:rPr>
          <w:rFonts w:ascii="Nirmala UI" w:hAnsi="Nirmala UI" w:cs="Nirmala UI"/>
          <w:sz w:val="24"/>
          <w:szCs w:val="24"/>
        </w:rPr>
        <w:t xml:space="preserve">in attuazione della linea di investimento </w:t>
      </w:r>
      <w:r w:rsidRPr="00E47372">
        <w:rPr>
          <w:rFonts w:ascii="Nirmala UI" w:hAnsi="Nirmala UI" w:cs="Nirmala UI"/>
          <w:sz w:val="24"/>
          <w:szCs w:val="24"/>
        </w:rPr>
        <w:t xml:space="preserve">1.4 . “Intervento straordinario finalizzato alla riduzione dei divari territoriali nel I e II ciclo della scuola secondaria e alla lotta alla dispersione scolastica” - Missione 4 – Componente 1 – del Piano nazionale di ripresa e resilienza, finanziato dall’Unione europea – </w:t>
      </w:r>
      <w:proofErr w:type="spellStart"/>
      <w:r w:rsidRPr="00E47372">
        <w:rPr>
          <w:rFonts w:ascii="Nirmala UI" w:hAnsi="Nirmala UI" w:cs="Nirmala UI"/>
          <w:sz w:val="24"/>
          <w:szCs w:val="24"/>
        </w:rPr>
        <w:t>Next</w:t>
      </w:r>
      <w:proofErr w:type="spellEnd"/>
      <w:r w:rsidRPr="00E47372">
        <w:rPr>
          <w:rFonts w:ascii="Nirmala UI" w:hAnsi="Nirmala UI" w:cs="Nirmala UI"/>
          <w:sz w:val="24"/>
          <w:szCs w:val="24"/>
        </w:rPr>
        <w:t xml:space="preserve"> Generation EU</w:t>
      </w:r>
    </w:p>
    <w:p w:rsidR="001C2CC5" w:rsidRPr="002A5CF4" w:rsidRDefault="001C2CC5" w:rsidP="001C2CC5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_____________________________________________-il 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r w:rsidRPr="002A5CF4">
        <w:rPr>
          <w:rFonts w:ascii="Nirmala UI" w:hAnsi="Nirmala UI" w:cs="Nirmala UI"/>
          <w:sz w:val="24"/>
          <w:szCs w:val="24"/>
        </w:rPr>
        <w:t>cell</w:t>
      </w:r>
      <w:proofErr w:type="spellEnd"/>
      <w:r w:rsidRPr="002A5CF4">
        <w:rPr>
          <w:rFonts w:ascii="Nirmala UI" w:hAnsi="Nirmala UI" w:cs="Nirmala UI"/>
          <w:sz w:val="24"/>
          <w:szCs w:val="24"/>
        </w:rPr>
        <w:t>.__________________________________ Indirizzo e-mail__________________________</w:t>
      </w:r>
    </w:p>
    <w:p w:rsidR="001C2CC5" w:rsidRDefault="001C2CC5" w:rsidP="001C2CC5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:rsidR="001C2CC5" w:rsidRPr="002A5CF4" w:rsidRDefault="001C2CC5" w:rsidP="001C2CC5">
      <w:pPr>
        <w:pStyle w:val="Corpotesto"/>
        <w:spacing w:line="257" w:lineRule="auto"/>
        <w:ind w:left="142" w:right="1168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:rsidR="001C2CC5" w:rsidRPr="002A5CF4" w:rsidRDefault="001C2CC5" w:rsidP="001C2CC5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 xml:space="preserve">quale </w:t>
      </w:r>
      <w:r>
        <w:rPr>
          <w:rFonts w:ascii="Nirmala UI" w:hAnsi="Nirmala UI" w:cs="Nirmala UI"/>
          <w:sz w:val="24"/>
          <w:szCs w:val="24"/>
        </w:rPr>
        <w:t xml:space="preserve">personale di supporto </w:t>
      </w:r>
      <w:r w:rsidRPr="00FA4F19">
        <w:rPr>
          <w:rFonts w:ascii="Nirmala UI" w:hAnsi="Nirmala UI" w:cs="Nirmala UI"/>
          <w:sz w:val="24"/>
          <w:szCs w:val="24"/>
        </w:rPr>
        <w:t xml:space="preserve">alla realizzazione di n. 1 edizione relativa ai percorsi formativi e laboratoriali co-curricolari </w:t>
      </w:r>
      <w:r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</w:t>
      </w:r>
      <w:r w:rsidRPr="00E47372">
        <w:rPr>
          <w:rFonts w:ascii="Nirmala UI" w:hAnsi="Nirmala UI" w:cs="Nirmala UI"/>
          <w:sz w:val="24"/>
          <w:szCs w:val="24"/>
        </w:rPr>
        <w:t xml:space="preserve">1.4 . “Intervento straordinario finalizzato alla riduzione dei divari territoriali nel I e II ciclo della scuola secondaria e alla lotta alla dispersione scolastica” - Missione 4 – </w:t>
      </w:r>
      <w:r w:rsidRPr="00E47372">
        <w:rPr>
          <w:rFonts w:ascii="Nirmala UI" w:hAnsi="Nirmala UI" w:cs="Nirmala UI"/>
          <w:sz w:val="24"/>
          <w:szCs w:val="24"/>
        </w:rPr>
        <w:lastRenderedPageBreak/>
        <w:t xml:space="preserve">Componente 1 – del Piano nazionale di ripresa e resilienza, finanziato dall’Unione europea – </w:t>
      </w:r>
      <w:proofErr w:type="spellStart"/>
      <w:r w:rsidRPr="00E47372">
        <w:rPr>
          <w:rFonts w:ascii="Nirmala UI" w:hAnsi="Nirmala UI" w:cs="Nirmala UI"/>
          <w:sz w:val="24"/>
          <w:szCs w:val="24"/>
        </w:rPr>
        <w:t>Next</w:t>
      </w:r>
      <w:proofErr w:type="spellEnd"/>
      <w:r w:rsidRPr="00E47372">
        <w:rPr>
          <w:rFonts w:ascii="Nirmala UI" w:hAnsi="Nirmala UI" w:cs="Nirmala UI"/>
          <w:sz w:val="24"/>
          <w:szCs w:val="24"/>
        </w:rPr>
        <w:t xml:space="preserve"> Generation EU</w:t>
      </w:r>
      <w:r w:rsidRPr="002A5CF4">
        <w:rPr>
          <w:rFonts w:ascii="Nirmala UI" w:hAnsi="Nirmala UI" w:cs="Nirmala UI"/>
          <w:bCs/>
          <w:sz w:val="24"/>
          <w:szCs w:val="24"/>
        </w:rPr>
        <w:t>.</w:t>
      </w:r>
    </w:p>
    <w:p w:rsidR="001C2CC5" w:rsidRPr="002A5CF4" w:rsidRDefault="001C2CC5" w:rsidP="001C2CC5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b/>
          <w:sz w:val="24"/>
          <w:szCs w:val="24"/>
        </w:rPr>
        <w:t>dichiara</w:t>
      </w:r>
      <w:r w:rsidRPr="002A5CF4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quanto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segue:</w:t>
      </w:r>
    </w:p>
    <w:p w:rsidR="001C2CC5" w:rsidRPr="002A5CF4" w:rsidRDefault="001C2CC5" w:rsidP="001C2CC5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:rsidR="001C2CC5" w:rsidRPr="00D954B6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  <w:r>
        <w:rPr>
          <w:rFonts w:ascii="Nirmala UI" w:hAnsi="Nirmala UI" w:cs="Nirmala U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CC5" w:rsidRPr="00D954B6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  <w:t>_________________________________________________________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l’ </w:t>
      </w:r>
      <w:r w:rsidRPr="002A5CF4">
        <w:rPr>
          <w:rFonts w:ascii="Nirmala UI" w:hAnsi="Nirmala UI" w:cs="Nirmala UI"/>
        </w:rPr>
        <w:t>carico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:rsidR="001C2CC5" w:rsidRPr="002A5CF4" w:rsidRDefault="001C2CC5" w:rsidP="001C2CC5">
      <w:pPr>
        <w:pStyle w:val="Corpotesto"/>
        <w:spacing w:before="2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</w:p>
    <w:p w:rsidR="001C2CC5" w:rsidRPr="002A5CF4" w:rsidRDefault="001C2CC5" w:rsidP="001C2CC5">
      <w:pPr>
        <w:pStyle w:val="Corpotesto"/>
        <w:spacing w:before="4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2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(griglia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valutazione)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3 Dichiarazione di insussistenza di incompatibilità</w:t>
      </w:r>
    </w:p>
    <w:p w:rsidR="001C2CC5" w:rsidRPr="00DA58A3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Documento di riconoscimento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:rsidR="001C2CC5" w:rsidRPr="002A5CF4" w:rsidRDefault="001C2CC5" w:rsidP="001C2CC5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:rsidR="001C2CC5" w:rsidRPr="002A5CF4" w:rsidRDefault="001C2CC5" w:rsidP="001C2CC5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:rsidR="001C2CC5" w:rsidRPr="002A5CF4" w:rsidRDefault="001C2CC5" w:rsidP="001C2CC5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1C2CC5" w:rsidRPr="002A5CF4" w:rsidRDefault="001C2CC5" w:rsidP="001C2CC5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1E35BD" w:rsidRDefault="001C2CC5" w:rsidP="001C2CC5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l’Istituto Comprensivo F.lli Sommariva di Cerea (VR)al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:rsidR="001C2CC5" w:rsidRPr="002A5CF4" w:rsidRDefault="001C2CC5" w:rsidP="001C2CC5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1C2CC5" w:rsidRPr="002A5CF4" w:rsidRDefault="001C2CC5" w:rsidP="001C2CC5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2754E4" w:rsidRDefault="001C2CC5">
      <w:bookmarkStart w:id="0" w:name="_GoBack"/>
      <w:bookmarkEnd w:id="0"/>
    </w:p>
    <w:sectPr w:rsidR="002754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0B"/>
    <w:rsid w:val="001C2CC5"/>
    <w:rsid w:val="001E5B0B"/>
    <w:rsid w:val="00833D45"/>
    <w:rsid w:val="00A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2C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2CC5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CC5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2C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CC5"/>
    <w:rPr>
      <w:rFonts w:ascii="Arial" w:eastAsia="Arial" w:hAnsi="Arial" w:cs="Arial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2C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2CC5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CC5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2C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CC5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2</cp:revision>
  <dcterms:created xsi:type="dcterms:W3CDTF">2024-06-06T10:42:00Z</dcterms:created>
  <dcterms:modified xsi:type="dcterms:W3CDTF">2024-06-06T10:42:00Z</dcterms:modified>
</cp:coreProperties>
</file>